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rPr>
          <w:rFonts w:ascii="Times New Roman"/>
        </w:rPr>
      </w:pPr>
    </w:p>
    <w:p>
      <w:pPr>
        <w:pStyle w:val="3"/>
        <w:spacing w:before="8"/>
        <w:ind w:left="0"/>
        <w:rPr>
          <w:rFonts w:ascii="Times New Roman"/>
          <w:sz w:val="23"/>
        </w:rPr>
      </w:pPr>
    </w:p>
    <w:p>
      <w:pPr>
        <w:pStyle w:val="2"/>
        <w:numPr>
          <w:numId w:val="0"/>
        </w:numPr>
        <w:tabs>
          <w:tab w:val="left" w:pos="364"/>
        </w:tabs>
        <w:spacing w:before="1" w:after="0" w:line="240" w:lineRule="auto"/>
        <w:ind w:right="0" w:rightChars="0"/>
        <w:jc w:val="left"/>
      </w:pPr>
    </w:p>
    <w:p/>
    <w:p/>
    <w:p/>
    <w:p/>
    <w:p/>
    <w:p/>
    <w:p/>
    <w:p>
      <w:pPr>
        <w:pStyle w:val="2"/>
        <w:numPr>
          <w:numId w:val="0"/>
        </w:numPr>
        <w:tabs>
          <w:tab w:val="left" w:pos="364"/>
        </w:tabs>
        <w:spacing w:before="1" w:after="0" w:line="240" w:lineRule="auto"/>
        <w:ind w:right="0" w:rightChars="0"/>
        <w:jc w:val="left"/>
        <w:rPr>
          <w:rFonts w:hint="eastAsia"/>
          <w:lang w:val="en-US" w:eastAsia="zh-CN"/>
        </w:rPr>
      </w:pPr>
    </w:p>
    <w:p>
      <w:pPr>
        <w:pStyle w:val="2"/>
        <w:numPr>
          <w:numId w:val="0"/>
        </w:numPr>
        <w:tabs>
          <w:tab w:val="left" w:pos="364"/>
        </w:tabs>
        <w:spacing w:before="1" w:after="0" w:line="240" w:lineRule="auto"/>
        <w:ind w:right="0" w:rightChars="0"/>
        <w:jc w:val="left"/>
        <w:rPr>
          <w:rFonts w:hint="eastAsia"/>
          <w:lang w:val="en-US" w:eastAsia="zh-CN"/>
        </w:rPr>
      </w:pPr>
    </w:p>
    <w:p>
      <w:pPr>
        <w:pStyle w:val="2"/>
        <w:numPr>
          <w:numId w:val="0"/>
        </w:numPr>
        <w:tabs>
          <w:tab w:val="left" w:pos="364"/>
        </w:tabs>
        <w:spacing w:before="1" w:after="0" w:line="240" w:lineRule="auto"/>
        <w:ind w:right="0" w:rightChars="0"/>
        <w:jc w:val="left"/>
      </w:pPr>
      <w:bookmarkStart w:id="0" w:name="_GoBack"/>
      <w:bookmarkEnd w:id="0"/>
      <w:r>
        <w:rPr>
          <w:rFonts w:hint="eastAsia"/>
          <w:lang w:val="en-US" w:eastAsia="zh-CN"/>
        </w:rPr>
        <w:t>1、</w:t>
      </w:r>
      <w:r>
        <w:t>导师的个人简介</w:t>
      </w:r>
    </w:p>
    <w:p/>
    <w:p>
      <w:pPr>
        <w:spacing w:before="43"/>
        <w:ind w:right="0"/>
        <w:jc w:val="left"/>
        <w:rPr>
          <w:b/>
          <w:bCs/>
          <w:sz w:val="32"/>
          <w:szCs w:val="32"/>
        </w:rPr>
      </w:pPr>
      <w:r>
        <w:br w:type="column"/>
      </w:r>
      <w:r>
        <w:rPr>
          <w:rFonts w:hint="eastAsia"/>
          <w:b/>
          <w:bCs/>
          <w:sz w:val="32"/>
          <w:szCs w:val="32"/>
          <w:lang w:eastAsia="zh-CN"/>
        </w:rPr>
        <w:t>何和与</w:t>
      </w:r>
      <w:r>
        <w:rPr>
          <w:b/>
          <w:bCs/>
          <w:sz w:val="32"/>
          <w:szCs w:val="32"/>
        </w:rPr>
        <w:t>导师个人简介</w:t>
      </w:r>
    </w:p>
    <w:p>
      <w:pPr>
        <w:spacing w:before="43"/>
        <w:ind w:left="120" w:right="0" w:firstLine="0"/>
        <w:jc w:val="left"/>
        <w:rPr>
          <w:rFonts w:hint="eastAsia" w:eastAsia="宋体"/>
          <w:b/>
          <w:bCs/>
          <w:sz w:val="32"/>
          <w:szCs w:val="32"/>
          <w:lang w:eastAsia="zh-CN"/>
        </w:rPr>
      </w:pPr>
      <w:r>
        <w:rPr>
          <w:rFonts w:hint="eastAsia" w:eastAsia="宋体"/>
          <w:b/>
          <w:bCs/>
          <w:sz w:val="32"/>
          <w:szCs w:val="32"/>
          <w:lang w:eastAsia="zh-CN"/>
        </w:rPr>
        <w:drawing>
          <wp:inline distT="0" distB="0" distL="114300" distR="114300">
            <wp:extent cx="1285875" cy="1861820"/>
            <wp:effectExtent l="0" t="0" r="9525" b="5080"/>
            <wp:docPr id="1" name="图片 1" descr="何和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何和与"/>
                    <pic:cNvPicPr>
                      <a:picLocks noChangeAspect="1"/>
                    </pic:cNvPicPr>
                  </pic:nvPicPr>
                  <pic:blipFill>
                    <a:blip r:embed="rId6"/>
                    <a:stretch>
                      <a:fillRect/>
                    </a:stretch>
                  </pic:blipFill>
                  <pic:spPr>
                    <a:xfrm>
                      <a:off x="0" y="0"/>
                      <a:ext cx="1285875" cy="1861820"/>
                    </a:xfrm>
                    <a:prstGeom prst="rect">
                      <a:avLst/>
                    </a:prstGeom>
                  </pic:spPr>
                </pic:pic>
              </a:graphicData>
            </a:graphic>
          </wp:inline>
        </w:drawing>
      </w:r>
    </w:p>
    <w:p>
      <w:pPr>
        <w:spacing w:after="0"/>
        <w:jc w:val="left"/>
        <w:rPr>
          <w:sz w:val="32"/>
          <w:szCs w:val="32"/>
        </w:rPr>
        <w:sectPr>
          <w:type w:val="continuous"/>
          <w:pgSz w:w="11910" w:h="16840"/>
          <w:pgMar w:top="1500" w:right="1560" w:bottom="280" w:left="1680" w:header="720" w:footer="720" w:gutter="0"/>
          <w:cols w:equalWidth="0" w:num="2">
            <w:col w:w="2085" w:space="615"/>
            <w:col w:w="5970"/>
          </w:cols>
        </w:sectPr>
      </w:pPr>
    </w:p>
    <w:p>
      <w:pPr>
        <w:pStyle w:val="3"/>
        <w:spacing w:before="4" w:line="360" w:lineRule="auto"/>
        <w:ind w:right="117" w:firstLine="480"/>
      </w:pPr>
      <w:r>
        <w:t>何和与，男，1985</w:t>
      </w:r>
      <w:r>
        <w:rPr>
          <w:spacing w:val="-40"/>
        </w:rPr>
        <w:t xml:space="preserve"> 年 </w:t>
      </w:r>
      <w:r>
        <w:t>8</w:t>
      </w:r>
      <w:r>
        <w:rPr>
          <w:spacing w:val="-8"/>
        </w:rPr>
        <w:t xml:space="preserve"> 月出生，海南万宁人，中共党员，医学硕士，中西医结合骨科副主任医师，海南医学院第二附属医院感控科主任。2008</w:t>
      </w:r>
      <w:r>
        <w:rPr>
          <w:spacing w:val="-40"/>
        </w:rPr>
        <w:t xml:space="preserve"> 年 </w:t>
      </w:r>
      <w:r>
        <w:t>6</w:t>
      </w:r>
      <w:r>
        <w:rPr>
          <w:spacing w:val="-20"/>
        </w:rPr>
        <w:t xml:space="preserve"> 月毕业于华中科技大学同济医学院，毕业后在海南医学院第二附属医院从事骨科专 </w:t>
      </w:r>
      <w:r>
        <w:rPr>
          <w:spacing w:val="-15"/>
        </w:rPr>
        <w:t>业，</w:t>
      </w:r>
      <w:r>
        <w:rPr>
          <w:spacing w:val="-10"/>
        </w:rPr>
        <w:t>2012</w:t>
      </w:r>
      <w:r>
        <w:rPr>
          <w:spacing w:val="-40"/>
        </w:rPr>
        <w:t xml:space="preserve"> 年 </w:t>
      </w:r>
      <w:r>
        <w:t>1</w:t>
      </w:r>
      <w:r>
        <w:rPr>
          <w:spacing w:val="-30"/>
        </w:rPr>
        <w:t xml:space="preserve"> 月</w:t>
      </w:r>
      <w:r>
        <w:t>-2012</w:t>
      </w:r>
      <w:r>
        <w:rPr>
          <w:spacing w:val="-40"/>
        </w:rPr>
        <w:t xml:space="preserve"> 年 </w:t>
      </w:r>
      <w:r>
        <w:t>11</w:t>
      </w:r>
      <w:r>
        <w:rPr>
          <w:spacing w:val="-12"/>
        </w:rPr>
        <w:t xml:space="preserve"> 月在北京积水潭医院进修创伤骨科、小儿骨科专业， </w:t>
      </w:r>
      <w:r>
        <w:t>2015</w:t>
      </w:r>
      <w:r>
        <w:rPr>
          <w:spacing w:val="-43"/>
        </w:rPr>
        <w:t xml:space="preserve"> 年 </w:t>
      </w:r>
      <w:r>
        <w:t>10</w:t>
      </w:r>
      <w:r>
        <w:rPr>
          <w:spacing w:val="-33"/>
        </w:rPr>
        <w:t xml:space="preserve"> 月</w:t>
      </w:r>
      <w:r>
        <w:t>-2016</w:t>
      </w:r>
      <w:r>
        <w:rPr>
          <w:spacing w:val="-43"/>
        </w:rPr>
        <w:t xml:space="preserve"> 年 </w:t>
      </w:r>
      <w:r>
        <w:t>5</w:t>
      </w:r>
      <w:r>
        <w:rPr>
          <w:spacing w:val="-16"/>
        </w:rPr>
        <w:t xml:space="preserve"> 月在中南大学湘雅医院进修骨科专业，</w:t>
      </w:r>
      <w:r>
        <w:t>2014</w:t>
      </w:r>
      <w:r>
        <w:rPr>
          <w:spacing w:val="-43"/>
        </w:rPr>
        <w:t xml:space="preserve"> 年 </w:t>
      </w:r>
      <w:r>
        <w:t>9</w:t>
      </w:r>
      <w:r>
        <w:rPr>
          <w:spacing w:val="-32"/>
        </w:rPr>
        <w:t xml:space="preserve"> 月</w:t>
      </w:r>
      <w:r>
        <w:t>-2016</w:t>
      </w:r>
    </w:p>
    <w:p>
      <w:pPr>
        <w:pStyle w:val="3"/>
        <w:spacing w:before="7" w:line="360" w:lineRule="auto"/>
        <w:ind w:right="325"/>
        <w:jc w:val="both"/>
      </w:pPr>
      <w:r>
        <w:rPr>
          <w:spacing w:val="-30"/>
        </w:rPr>
        <w:t xml:space="preserve">年 </w:t>
      </w:r>
      <w:r>
        <w:t>6</w:t>
      </w:r>
      <w:r>
        <w:rPr>
          <w:spacing w:val="-8"/>
        </w:rPr>
        <w:t xml:space="preserve"> 月在职攻读中南大学湘雅医院骨科研究生并获硕士学位</w:t>
      </w:r>
      <w:r>
        <w:t>，2017</w:t>
      </w:r>
      <w:r>
        <w:rPr>
          <w:spacing w:val="-40"/>
        </w:rPr>
        <w:t xml:space="preserve"> 年 </w:t>
      </w:r>
      <w:r>
        <w:t>7</w:t>
      </w:r>
      <w:r>
        <w:rPr>
          <w:spacing w:val="-20"/>
        </w:rPr>
        <w:t xml:space="preserve"> 月任海</w:t>
      </w:r>
      <w:r>
        <w:t>南医学院第二附属医院科研科副主任（主持全面工作），2018</w:t>
      </w:r>
      <w:r>
        <w:rPr>
          <w:spacing w:val="-11"/>
        </w:rPr>
        <w:t xml:space="preserve"> 年晋升副主任医</w:t>
      </w:r>
      <w:r>
        <w:t>师，2021</w:t>
      </w:r>
      <w:r>
        <w:rPr>
          <w:spacing w:val="-40"/>
        </w:rPr>
        <w:t xml:space="preserve"> 年 </w:t>
      </w:r>
      <w:r>
        <w:t>1</w:t>
      </w:r>
      <w:r>
        <w:rPr>
          <w:spacing w:val="-8"/>
        </w:rPr>
        <w:t xml:space="preserve"> 月任海南医学院第二附属医院感控科主任。</w:t>
      </w:r>
    </w:p>
    <w:p>
      <w:pPr>
        <w:pStyle w:val="2"/>
        <w:numPr>
          <w:numId w:val="0"/>
        </w:numPr>
        <w:tabs>
          <w:tab w:val="left" w:pos="364"/>
        </w:tabs>
        <w:spacing w:before="5" w:after="0" w:line="360" w:lineRule="auto"/>
        <w:ind w:left="119" w:leftChars="0" w:right="0" w:rightChars="0"/>
        <w:jc w:val="left"/>
      </w:pPr>
      <w:r>
        <w:rPr>
          <w:rFonts w:hint="eastAsia"/>
          <w:lang w:val="en-US" w:eastAsia="zh-CN"/>
        </w:rPr>
        <w:t>2、</w:t>
      </w:r>
      <w:r>
        <w:t>研究方向</w:t>
      </w:r>
    </w:p>
    <w:p>
      <w:pPr>
        <w:spacing w:before="4" w:line="360" w:lineRule="auto"/>
        <w:ind w:left="120" w:right="4465" w:firstLine="480"/>
        <w:jc w:val="left"/>
        <w:rPr>
          <w:b/>
          <w:sz w:val="24"/>
        </w:rPr>
      </w:pPr>
      <w:r>
        <w:rPr>
          <w:sz w:val="24"/>
        </w:rPr>
        <w:t>创伤外科、关节外科、小儿骨科。</w:t>
      </w:r>
      <w:r>
        <w:rPr>
          <w:b/>
          <w:sz w:val="24"/>
        </w:rPr>
        <w:t>3</w:t>
      </w:r>
      <w:r>
        <w:rPr>
          <w:rFonts w:hint="eastAsia"/>
          <w:b/>
          <w:sz w:val="24"/>
          <w:lang w:eastAsia="zh-CN"/>
        </w:rPr>
        <w:t>、</w:t>
      </w:r>
      <w:r>
        <w:rPr>
          <w:b/>
          <w:sz w:val="24"/>
        </w:rPr>
        <w:t>发表的学术论文</w:t>
      </w:r>
    </w:p>
    <w:p>
      <w:pPr>
        <w:pStyle w:val="7"/>
        <w:numPr>
          <w:numId w:val="0"/>
        </w:numPr>
        <w:tabs>
          <w:tab w:val="left" w:pos="961"/>
        </w:tabs>
        <w:spacing w:before="3" w:after="0" w:line="360" w:lineRule="auto"/>
        <w:ind w:left="440" w:leftChars="0" w:right="265" w:rightChars="0"/>
        <w:jc w:val="left"/>
        <w:rPr>
          <w:sz w:val="24"/>
        </w:rPr>
      </w:pPr>
      <w:r>
        <w:rPr>
          <w:rFonts w:hint="eastAsia"/>
          <w:spacing w:val="-1"/>
          <w:sz w:val="24"/>
          <w:lang w:eastAsia="zh-CN"/>
        </w:rPr>
        <w:t>（</w:t>
      </w:r>
      <w:r>
        <w:rPr>
          <w:rFonts w:hint="eastAsia"/>
          <w:spacing w:val="-1"/>
          <w:sz w:val="24"/>
          <w:lang w:val="en-US" w:eastAsia="zh-CN"/>
        </w:rPr>
        <w:t>1</w:t>
      </w:r>
      <w:r>
        <w:rPr>
          <w:rFonts w:hint="eastAsia"/>
          <w:spacing w:val="-1"/>
          <w:sz w:val="24"/>
          <w:lang w:eastAsia="zh-CN"/>
        </w:rPr>
        <w:t>）</w:t>
      </w:r>
      <w:r>
        <w:rPr>
          <w:spacing w:val="-1"/>
          <w:sz w:val="24"/>
        </w:rPr>
        <w:t>不同设计理念的膝关节假体对初次人工全膝关节置换术后早期疗效的影</w:t>
      </w:r>
      <w:r>
        <w:rPr>
          <w:sz w:val="24"/>
        </w:rPr>
        <w:t>响.中国现代医学杂志.2016</w:t>
      </w:r>
      <w:r>
        <w:rPr>
          <w:spacing w:val="-30"/>
          <w:sz w:val="24"/>
        </w:rPr>
        <w:t xml:space="preserve"> 年第 </w:t>
      </w:r>
      <w:r>
        <w:rPr>
          <w:sz w:val="24"/>
        </w:rPr>
        <w:t>12</w:t>
      </w:r>
      <w:r>
        <w:rPr>
          <w:spacing w:val="-40"/>
          <w:sz w:val="24"/>
        </w:rPr>
        <w:t xml:space="preserve"> 期 </w:t>
      </w:r>
      <w:r>
        <w:rPr>
          <w:sz w:val="24"/>
        </w:rPr>
        <w:t>94-99</w:t>
      </w:r>
      <w:r>
        <w:rPr>
          <w:spacing w:val="-8"/>
          <w:sz w:val="24"/>
        </w:rPr>
        <w:t xml:space="preserve"> 页.第一作者.</w:t>
      </w:r>
    </w:p>
    <w:p>
      <w:pPr>
        <w:pStyle w:val="7"/>
        <w:numPr>
          <w:numId w:val="0"/>
        </w:numPr>
        <w:tabs>
          <w:tab w:val="left" w:pos="961"/>
        </w:tabs>
        <w:spacing w:before="3" w:after="0" w:line="360" w:lineRule="auto"/>
        <w:ind w:left="440" w:leftChars="0" w:right="505" w:rightChars="0"/>
        <w:jc w:val="left"/>
        <w:rPr>
          <w:sz w:val="24"/>
        </w:rPr>
      </w:pPr>
      <w:r>
        <w:rPr>
          <w:rFonts w:hint="eastAsia"/>
          <w:spacing w:val="-20"/>
          <w:sz w:val="24"/>
          <w:lang w:eastAsia="zh-CN"/>
        </w:rPr>
        <w:t>（</w:t>
      </w:r>
      <w:r>
        <w:rPr>
          <w:rFonts w:hint="eastAsia"/>
          <w:spacing w:val="-20"/>
          <w:sz w:val="24"/>
          <w:lang w:val="en-US" w:eastAsia="zh-CN"/>
        </w:rPr>
        <w:t>2</w:t>
      </w:r>
      <w:r>
        <w:rPr>
          <w:rFonts w:hint="eastAsia"/>
          <w:spacing w:val="-20"/>
          <w:sz w:val="24"/>
          <w:lang w:eastAsia="zh-CN"/>
        </w:rPr>
        <w:t>）</w:t>
      </w:r>
      <w:r>
        <w:rPr>
          <w:spacing w:val="-20"/>
          <w:sz w:val="24"/>
        </w:rPr>
        <w:t xml:space="preserve">血清 </w:t>
      </w:r>
      <w:r>
        <w:rPr>
          <w:sz w:val="24"/>
        </w:rPr>
        <w:t>n-3</w:t>
      </w:r>
      <w:r>
        <w:rPr>
          <w:spacing w:val="-9"/>
          <w:sz w:val="24"/>
        </w:rPr>
        <w:t xml:space="preserve"> 多不饱和脂肪酸水平与全膝关节置换早期股四头肌肌力变化</w:t>
      </w:r>
      <w:r>
        <w:rPr>
          <w:sz w:val="24"/>
        </w:rPr>
        <w:t>的相关性.中国组织工程研究.2021</w:t>
      </w:r>
      <w:r>
        <w:rPr>
          <w:spacing w:val="-30"/>
          <w:sz w:val="24"/>
        </w:rPr>
        <w:t xml:space="preserve"> 年第 </w:t>
      </w:r>
      <w:r>
        <w:rPr>
          <w:sz w:val="24"/>
        </w:rPr>
        <w:t>9</w:t>
      </w:r>
      <w:r>
        <w:rPr>
          <w:spacing w:val="-40"/>
          <w:sz w:val="24"/>
        </w:rPr>
        <w:t xml:space="preserve"> 期 </w:t>
      </w:r>
      <w:r>
        <w:rPr>
          <w:sz w:val="24"/>
        </w:rPr>
        <w:t>1375-1380</w:t>
      </w:r>
      <w:r>
        <w:rPr>
          <w:spacing w:val="-8"/>
          <w:sz w:val="24"/>
        </w:rPr>
        <w:t xml:space="preserve"> 页.通讯作者.</w:t>
      </w:r>
    </w:p>
    <w:p>
      <w:pPr>
        <w:pStyle w:val="7"/>
        <w:numPr>
          <w:numId w:val="0"/>
        </w:numPr>
        <w:tabs>
          <w:tab w:val="left" w:pos="961"/>
        </w:tabs>
        <w:spacing w:before="3" w:after="0" w:line="360" w:lineRule="auto"/>
        <w:ind w:left="440" w:leftChars="0" w:right="385" w:rightChars="0"/>
        <w:jc w:val="left"/>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中医手法复位治疗肱骨近端骨折(NeerⅡ</w:t>
      </w:r>
      <w:r>
        <w:rPr>
          <w:spacing w:val="-2"/>
          <w:sz w:val="24"/>
        </w:rPr>
        <w:t>、Ⅲ型)疗效分析.创伤外科杂</w:t>
      </w:r>
      <w:r>
        <w:rPr>
          <w:sz w:val="24"/>
        </w:rPr>
        <w:t>志.2018</w:t>
      </w:r>
      <w:r>
        <w:rPr>
          <w:spacing w:val="-30"/>
          <w:sz w:val="24"/>
        </w:rPr>
        <w:t xml:space="preserve"> 年第 </w:t>
      </w:r>
      <w:r>
        <w:rPr>
          <w:sz w:val="24"/>
        </w:rPr>
        <w:t>8</w:t>
      </w:r>
      <w:r>
        <w:rPr>
          <w:spacing w:val="-40"/>
          <w:sz w:val="24"/>
        </w:rPr>
        <w:t xml:space="preserve"> 期 </w:t>
      </w:r>
      <w:r>
        <w:rPr>
          <w:sz w:val="24"/>
        </w:rPr>
        <w:t>615-617</w:t>
      </w:r>
      <w:r>
        <w:rPr>
          <w:spacing w:val="-8"/>
          <w:sz w:val="24"/>
        </w:rPr>
        <w:t xml:space="preserve"> 页.第一作者.</w:t>
      </w:r>
    </w:p>
    <w:p>
      <w:pPr>
        <w:keepNext w:val="0"/>
        <w:keepLines w:val="0"/>
        <w:widowControl/>
        <w:suppressLineNumbers w:val="0"/>
        <w:spacing w:line="360" w:lineRule="auto"/>
        <w:ind w:firstLine="480" w:firstLineChars="200"/>
        <w:jc w:val="left"/>
        <w:rPr>
          <w:rFonts w:hint="default" w:ascii="Times New Roman" w:hAnsi="Times New Roman" w:cs="Times New Roman"/>
          <w:sz w:val="24"/>
          <w:szCs w:val="24"/>
        </w:rPr>
      </w:pPr>
      <w:r>
        <w:rPr>
          <w:rFonts w:hint="eastAsia" w:ascii="宋体" w:hAnsi="宋体" w:eastAsia="宋体" w:cs="宋体"/>
          <w:sz w:val="24"/>
          <w:szCs w:val="22"/>
          <w:lang w:val="en-US" w:eastAsia="zh-CN" w:bidi="zh-CN"/>
        </w:rPr>
        <w:t>（4）</w:t>
      </w:r>
      <w:r>
        <w:rPr>
          <w:rFonts w:hint="default" w:ascii="Times New Roman" w:hAnsi="Times New Roman" w:eastAsia="Franklin Gothic Book" w:cs="Times New Roman"/>
          <w:color w:val="231F20"/>
          <w:kern w:val="0"/>
          <w:sz w:val="24"/>
          <w:szCs w:val="24"/>
          <w:lang w:val="en-US" w:eastAsia="zh-CN" w:bidi="ar"/>
        </w:rPr>
        <w:t xml:space="preserve">Bo-Cen Chen1*, He-Yu He2,3*, Kun Niu4*, Kai Rui1 , Ji-Gen Huang1 , Yi-Qiang Xie4 , Man Xiao1 </w:t>
      </w:r>
      <w:r>
        <w:rPr>
          <w:rFonts w:hint="default" w:ascii="Times New Roman" w:hAnsi="Times New Roman" w:eastAsia="Franklin Gothic Medium" w:cs="Times New Roman"/>
          <w:color w:val="231F20"/>
          <w:kern w:val="0"/>
          <w:sz w:val="24"/>
          <w:szCs w:val="24"/>
          <w:lang w:val="en-US" w:eastAsia="zh-CN" w:bidi="ar"/>
        </w:rPr>
        <w:t xml:space="preserve">Network pharmacology-based approach uncovers the </w:t>
      </w:r>
    </w:p>
    <w:p>
      <w:pPr>
        <w:keepNext w:val="0"/>
        <w:keepLines w:val="0"/>
        <w:widowControl/>
        <w:suppressLineNumbers w:val="0"/>
        <w:spacing w:line="360" w:lineRule="auto"/>
        <w:jc w:val="left"/>
        <w:rPr>
          <w:sz w:val="24"/>
        </w:rPr>
      </w:pPr>
      <w:r>
        <w:rPr>
          <w:rFonts w:hint="default" w:ascii="Times New Roman" w:hAnsi="Times New Roman" w:eastAsia="Franklin Gothic Medium" w:cs="Times New Roman"/>
          <w:color w:val="231F20"/>
          <w:kern w:val="0"/>
          <w:sz w:val="24"/>
          <w:szCs w:val="24"/>
          <w:lang w:val="en-US" w:eastAsia="zh-CN" w:bidi="ar"/>
        </w:rPr>
        <w:t xml:space="preserve">JAK/STAT signaling mechanism underlying </w:t>
      </w:r>
      <w:r>
        <w:rPr>
          <w:rFonts w:hint="default" w:ascii="Times New Roman" w:hAnsi="Times New Roman" w:eastAsia="FranklinGothic-MediumItalic" w:cs="Times New Roman"/>
          <w:i/>
          <w:iCs/>
          <w:color w:val="231F20"/>
          <w:kern w:val="0"/>
          <w:sz w:val="24"/>
          <w:szCs w:val="24"/>
          <w:lang w:val="en-US" w:eastAsia="zh-CN" w:bidi="ar"/>
        </w:rPr>
        <w:t>paederia scandens</w:t>
      </w:r>
      <w:r>
        <w:rPr>
          <w:rFonts w:hint="default" w:ascii="Times New Roman" w:hAnsi="Times New Roman" w:eastAsia="Franklin Gothic Medium" w:cs="Times New Roman"/>
          <w:color w:val="231F20"/>
          <w:kern w:val="0"/>
          <w:sz w:val="24"/>
          <w:szCs w:val="24"/>
          <w:lang w:val="en-US" w:eastAsia="zh-CN" w:bidi="ar"/>
        </w:rPr>
        <w:t xml:space="preserve"> extract treatment of rheumatoid arthritis.</w:t>
      </w:r>
      <w:r>
        <w:rPr>
          <w:rFonts w:hint="default" w:ascii="Times New Roman" w:hAnsi="Times New Roman" w:eastAsia="Franklin Gothic Book" w:cs="Times New Roman"/>
          <w:color w:val="231F20"/>
          <w:kern w:val="0"/>
          <w:sz w:val="24"/>
          <w:szCs w:val="24"/>
          <w:lang w:val="en-US" w:eastAsia="zh-CN" w:bidi="ar"/>
        </w:rPr>
        <w:t>Am J Transl Res</w:t>
      </w:r>
      <w:r>
        <w:rPr>
          <w:rFonts w:hint="eastAsia" w:eastAsia="Franklin Gothic Book" w:cs="Times New Roman"/>
          <w:color w:val="231F20"/>
          <w:kern w:val="0"/>
          <w:sz w:val="24"/>
          <w:szCs w:val="24"/>
          <w:lang w:val="en-US" w:eastAsia="zh-CN" w:bidi="ar"/>
        </w:rPr>
        <w:t>.</w:t>
      </w:r>
      <w:r>
        <w:rPr>
          <w:rFonts w:hint="default" w:ascii="Times New Roman" w:hAnsi="Times New Roman" w:eastAsia="Franklin Gothic Book" w:cs="Times New Roman"/>
          <w:color w:val="231F20"/>
          <w:kern w:val="0"/>
          <w:sz w:val="24"/>
          <w:szCs w:val="24"/>
          <w:lang w:val="en-US" w:eastAsia="zh-CN" w:bidi="ar"/>
        </w:rPr>
        <w:t xml:space="preserve"> 2022;14(8):5295-5307</w:t>
      </w:r>
    </w:p>
    <w:p>
      <w:pPr>
        <w:pStyle w:val="2"/>
        <w:numPr>
          <w:ilvl w:val="0"/>
          <w:numId w:val="1"/>
        </w:numPr>
        <w:tabs>
          <w:tab w:val="left" w:pos="364"/>
        </w:tabs>
        <w:spacing w:before="2" w:after="0" w:line="360" w:lineRule="auto"/>
        <w:ind w:left="363" w:right="0" w:hanging="244"/>
        <w:jc w:val="left"/>
      </w:pPr>
      <w:r>
        <w:rPr>
          <w:w w:val="95"/>
        </w:rPr>
        <w:t>主持过的科研项目（项目名称；项目编号；级别；经费；起止日期）</w:t>
      </w:r>
    </w:p>
    <w:p>
      <w:pPr>
        <w:pStyle w:val="3"/>
        <w:spacing w:before="5" w:line="360" w:lineRule="auto"/>
        <w:ind w:right="237" w:firstLine="480"/>
      </w:pPr>
      <w:r>
        <w:rPr>
          <w:spacing w:val="-1"/>
        </w:rPr>
        <w:t>海南省科技厅重点研发项目：</w:t>
      </w:r>
      <w:r>
        <w:rPr>
          <w:spacing w:val="-3"/>
        </w:rPr>
        <w:t>ZDYF2019146</w:t>
      </w:r>
      <w:r>
        <w:rPr>
          <w:spacing w:val="-11"/>
        </w:rPr>
        <w:t xml:space="preserve">，鸡屎藤通过 </w:t>
      </w:r>
      <w:r>
        <w:t>PI3K/Akt/mTOR</w:t>
      </w:r>
      <w:r>
        <w:rPr>
          <w:spacing w:val="-7"/>
        </w:rPr>
        <w:t xml:space="preserve"> 信</w:t>
      </w:r>
      <w:r>
        <w:t>号通路治疗类风湿性关节炎的机制研究，2019.04-2022.04，40</w:t>
      </w:r>
      <w:r>
        <w:rPr>
          <w:spacing w:val="-10"/>
        </w:rPr>
        <w:t xml:space="preserve"> 万元，主持</w:t>
      </w:r>
    </w:p>
    <w:p>
      <w:pPr>
        <w:pStyle w:val="2"/>
        <w:numPr>
          <w:ilvl w:val="0"/>
          <w:numId w:val="1"/>
        </w:numPr>
        <w:tabs>
          <w:tab w:val="left" w:pos="364"/>
        </w:tabs>
        <w:spacing w:before="3" w:after="0" w:line="360" w:lineRule="auto"/>
        <w:ind w:left="363" w:right="0" w:hanging="244"/>
        <w:jc w:val="left"/>
      </w:pPr>
      <w:r>
        <w:t>学术兼职</w:t>
      </w:r>
    </w:p>
    <w:p>
      <w:pPr>
        <w:pStyle w:val="3"/>
        <w:spacing w:before="4" w:line="360" w:lineRule="auto"/>
        <w:ind w:right="237" w:firstLine="480"/>
      </w:pPr>
      <w:r>
        <w:rPr>
          <w:spacing w:val="-6"/>
        </w:rPr>
        <w:t>中国研究性医院学会骨科青年委员、中国免疫学会委员、海南医学会灾难医</w:t>
      </w:r>
      <w:r>
        <w:t>学学会委员、海南医学会创伤医学学会委员</w:t>
      </w:r>
    </w:p>
    <w:sectPr>
      <w:type w:val="continuous"/>
      <w:pgSz w:w="11910" w:h="16840"/>
      <w:pgMar w:top="150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ranklin Gothic Book">
    <w:panose1 w:val="020B0503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FranklinGothic-Medium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decimal"/>
      <w:lvlText w:val="%1."/>
      <w:lvlJc w:val="left"/>
      <w:pPr>
        <w:ind w:left="363" w:hanging="244"/>
        <w:jc w:val="left"/>
      </w:pPr>
      <w:rPr>
        <w:rFonts w:hint="default" w:ascii="宋体" w:hAnsi="宋体" w:eastAsia="宋体" w:cs="宋体"/>
        <w:b/>
        <w:bCs/>
        <w:spacing w:val="-3"/>
        <w:w w:val="99"/>
        <w:sz w:val="22"/>
        <w:szCs w:val="22"/>
        <w:lang w:val="zh-CN" w:eastAsia="zh-CN" w:bidi="zh-CN"/>
      </w:rPr>
    </w:lvl>
    <w:lvl w:ilvl="1" w:tentative="0">
      <w:start w:val="0"/>
      <w:numFmt w:val="bullet"/>
      <w:lvlText w:val="•"/>
      <w:lvlJc w:val="left"/>
      <w:pPr>
        <w:ind w:left="1190" w:hanging="244"/>
      </w:pPr>
      <w:rPr>
        <w:rFonts w:hint="default"/>
        <w:lang w:val="zh-CN" w:eastAsia="zh-CN" w:bidi="zh-CN"/>
      </w:rPr>
    </w:lvl>
    <w:lvl w:ilvl="2" w:tentative="0">
      <w:start w:val="0"/>
      <w:numFmt w:val="bullet"/>
      <w:lvlText w:val="•"/>
      <w:lvlJc w:val="left"/>
      <w:pPr>
        <w:ind w:left="2021" w:hanging="244"/>
      </w:pPr>
      <w:rPr>
        <w:rFonts w:hint="default"/>
        <w:lang w:val="zh-CN" w:eastAsia="zh-CN" w:bidi="zh-CN"/>
      </w:rPr>
    </w:lvl>
    <w:lvl w:ilvl="3" w:tentative="0">
      <w:start w:val="0"/>
      <w:numFmt w:val="bullet"/>
      <w:lvlText w:val="•"/>
      <w:lvlJc w:val="left"/>
      <w:pPr>
        <w:ind w:left="2851" w:hanging="244"/>
      </w:pPr>
      <w:rPr>
        <w:rFonts w:hint="default"/>
        <w:lang w:val="zh-CN" w:eastAsia="zh-CN" w:bidi="zh-CN"/>
      </w:rPr>
    </w:lvl>
    <w:lvl w:ilvl="4" w:tentative="0">
      <w:start w:val="0"/>
      <w:numFmt w:val="bullet"/>
      <w:lvlText w:val="•"/>
      <w:lvlJc w:val="left"/>
      <w:pPr>
        <w:ind w:left="3682" w:hanging="244"/>
      </w:pPr>
      <w:rPr>
        <w:rFonts w:hint="default"/>
        <w:lang w:val="zh-CN" w:eastAsia="zh-CN" w:bidi="zh-CN"/>
      </w:rPr>
    </w:lvl>
    <w:lvl w:ilvl="5" w:tentative="0">
      <w:start w:val="0"/>
      <w:numFmt w:val="bullet"/>
      <w:lvlText w:val="•"/>
      <w:lvlJc w:val="left"/>
      <w:pPr>
        <w:ind w:left="4513" w:hanging="244"/>
      </w:pPr>
      <w:rPr>
        <w:rFonts w:hint="default"/>
        <w:lang w:val="zh-CN" w:eastAsia="zh-CN" w:bidi="zh-CN"/>
      </w:rPr>
    </w:lvl>
    <w:lvl w:ilvl="6" w:tentative="0">
      <w:start w:val="0"/>
      <w:numFmt w:val="bullet"/>
      <w:lvlText w:val="•"/>
      <w:lvlJc w:val="left"/>
      <w:pPr>
        <w:ind w:left="5343" w:hanging="244"/>
      </w:pPr>
      <w:rPr>
        <w:rFonts w:hint="default"/>
        <w:lang w:val="zh-CN" w:eastAsia="zh-CN" w:bidi="zh-CN"/>
      </w:rPr>
    </w:lvl>
    <w:lvl w:ilvl="7" w:tentative="0">
      <w:start w:val="0"/>
      <w:numFmt w:val="bullet"/>
      <w:lvlText w:val="•"/>
      <w:lvlJc w:val="left"/>
      <w:pPr>
        <w:ind w:left="6174" w:hanging="244"/>
      </w:pPr>
      <w:rPr>
        <w:rFonts w:hint="default"/>
        <w:lang w:val="zh-CN" w:eastAsia="zh-CN" w:bidi="zh-CN"/>
      </w:rPr>
    </w:lvl>
    <w:lvl w:ilvl="8" w:tentative="0">
      <w:start w:val="0"/>
      <w:numFmt w:val="bullet"/>
      <w:lvlText w:val="•"/>
      <w:lvlJc w:val="left"/>
      <w:pPr>
        <w:ind w:left="7004" w:hanging="24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A4A2AC4"/>
    <w:rsid w:val="201852C2"/>
    <w:rsid w:val="3EF270AB"/>
    <w:rsid w:val="565E155C"/>
    <w:rsid w:val="570D7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363" w:hanging="244"/>
      <w:outlineLvl w:val="1"/>
    </w:pPr>
    <w:rPr>
      <w:rFonts w:ascii="宋体" w:hAnsi="宋体" w:eastAsia="宋体" w:cs="宋体"/>
      <w:b/>
      <w:bCs/>
      <w:sz w:val="24"/>
      <w:szCs w:val="2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
      <w:ind w:left="12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3"/>
      <w:ind w:left="363" w:hanging="244"/>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2022-09-13T01:19:00Z</dcterms:created>
  <dc:creator>Administrator</dc:creator>
  <cp:lastModifiedBy>嘉卉</cp:lastModifiedBy>
  <dcterms:modified xsi:type="dcterms:W3CDTF">2022-09-13T02:09:30Z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WPS 文字</vt:lpwstr>
  </property>
  <property fmtid="{D5CDD505-2E9C-101B-9397-08002B2CF9AE}" pid="4" name="LastSaved">
    <vt:filetime>2022-09-13T00:00:00Z</vt:filetime>
  </property>
  <property fmtid="{D5CDD505-2E9C-101B-9397-08002B2CF9AE}" pid="5" name="KSOProductBuildVer">
    <vt:lpwstr>2052-11.1.0.11372</vt:lpwstr>
  </property>
  <property fmtid="{D5CDD505-2E9C-101B-9397-08002B2CF9AE}" pid="6" name="ICV">
    <vt:lpwstr>924692C038444AC89F581CB51CEA0027</vt:lpwstr>
  </property>
</Properties>
</file>