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/>
        <w:spacing w:line="360" w:lineRule="auto"/>
        <w:jc w:val="center"/>
        <w:textAlignment w:val="auto"/>
        <w:rPr>
          <w:rFonts w:hint="eastAsia" w:ascii="仿宋" w:hAnsi="仿宋" w:eastAsia="仿宋" w:cs="仿宋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36"/>
          <w:szCs w:val="36"/>
        </w:rPr>
        <w:t>刘蕾</w:t>
      </w:r>
      <w:r>
        <w:rPr>
          <w:rFonts w:hint="eastAsia" w:ascii="仿宋" w:hAnsi="仿宋" w:eastAsia="仿宋" w:cs="仿宋"/>
          <w:b/>
          <w:bCs/>
          <w:color w:val="auto"/>
          <w:sz w:val="36"/>
          <w:szCs w:val="36"/>
          <w:lang w:eastAsia="zh-CN"/>
        </w:rPr>
        <w:t>简介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个人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eastAsia="zh-CN"/>
        </w:rPr>
        <w:t>基本情况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                                                     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eastAsia="zh-CN"/>
        </w:rPr>
        <w:drawing>
          <wp:inline distT="0" distB="0" distL="114300" distR="114300">
            <wp:extent cx="859790" cy="1077595"/>
            <wp:effectExtent l="0" t="0" r="16510" b="8255"/>
            <wp:docPr id="1" name="图片 1" descr="刘蕾照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刘蕾照片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59790" cy="107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教育经历：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 xml:space="preserve">2015/09-2018/07   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天津医科大学，外科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学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，博士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 xml:space="preserve">1992/09-1999/07   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南开大学医学院七年制临床医学专业，硕士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工作经历：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2022/02-今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海南省儋州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市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人民医院，副院长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2016/01-今          天津市第一中心医院，科教处处长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2015/1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-今   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天津市第一中心医院移植ICU，主任医师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2011/02-2012/02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美国Mayo Clinic，移植中心，访问学者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1999/08-2015/11   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天津市第一中心医院移植ICU，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auto"/>
        <w:ind w:firstLine="2400" w:firstLineChars="1000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历经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住院医师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主治医师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、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副主任医师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研究方向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150" w:afterAutospacing="0" w:line="360" w:lineRule="auto"/>
        <w:ind w:firstLine="480" w:firstLineChars="200"/>
        <w:textAlignment w:val="auto"/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缺血再灌注损伤，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终末期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器官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  <w:lang w:eastAsia="zh-CN"/>
        </w:rPr>
        <w:t>功能</w:t>
      </w:r>
      <w:r>
        <w:rPr>
          <w:rFonts w:hint="eastAsia" w:ascii="仿宋" w:hAnsi="仿宋" w:eastAsia="仿宋" w:cs="仿宋"/>
          <w:color w:val="auto"/>
          <w:sz w:val="24"/>
          <w:szCs w:val="24"/>
          <w:shd w:val="clear" w:color="auto" w:fill="FFFFFF"/>
        </w:rPr>
        <w:t>衰竭，器官移植围手术期管理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发表的学术论文和专著（第1作者或通讯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eastAsia="zh-CN"/>
        </w:rPr>
        <w:t>作者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）</w:t>
      </w:r>
      <w:bookmarkStart w:id="5" w:name="_GoBack"/>
      <w:bookmarkEnd w:id="5"/>
    </w:p>
    <w:p>
      <w:pPr>
        <w:pStyle w:val="29"/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 Jian Wang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vertAlign w:val="superscript"/>
        </w:rPr>
        <w:t>#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,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 Jiasui Chai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vertAlign w:val="superscript"/>
        </w:rPr>
        <w:t>#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仿宋" w:cs="Times New Roman"/>
          <w:b/>
          <w:color w:val="auto"/>
          <w:sz w:val="24"/>
          <w:szCs w:val="24"/>
        </w:rPr>
        <w:t>Lei Liu</w:t>
      </w:r>
      <w:r>
        <w:rPr>
          <w:rFonts w:hint="default" w:ascii="Times New Roman" w:hAnsi="Times New Roman" w:eastAsia="仿宋" w:cs="Times New Roman"/>
          <w:b/>
          <w:color w:val="auto"/>
          <w:sz w:val="24"/>
          <w:szCs w:val="24"/>
          <w:vertAlign w:val="superscript"/>
        </w:rPr>
        <w:t>#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, Zilin Cui, Dongming Duan, Rui Shi, Yamin Zhang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vertAlign w:val="superscript"/>
        </w:rPr>
        <w:t>*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. Dual-functional melanin-based nanoliposomes forcombined chemotherapy and photothermal therapy of pancreatic cancer. </w:t>
      </w:r>
      <w:r>
        <w:rPr>
          <w:rFonts w:hint="default" w:ascii="Times New Roman" w:hAnsi="Times New Roman" w:eastAsia="仿宋" w:cs="Times New Roman"/>
          <w:i/>
          <w:color w:val="auto"/>
          <w:sz w:val="24"/>
          <w:szCs w:val="24"/>
        </w:rPr>
        <w:t>RSC Advances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, 2019,9:3012-3019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Wen Hou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vertAlign w:val="superscript"/>
        </w:rPr>
        <w:t>#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仿宋" w:cs="Times New Roman"/>
          <w:b/>
          <w:color w:val="auto"/>
          <w:sz w:val="24"/>
          <w:szCs w:val="24"/>
        </w:rPr>
        <w:t>Lei Liu</w:t>
      </w:r>
      <w:r>
        <w:rPr>
          <w:rFonts w:hint="default" w:ascii="Times New Roman" w:hAnsi="Times New Roman" w:eastAsia="仿宋" w:cs="Times New Roman"/>
          <w:b/>
          <w:color w:val="auto"/>
          <w:sz w:val="24"/>
          <w:szCs w:val="24"/>
          <w:vertAlign w:val="superscript"/>
        </w:rPr>
        <w:t>#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, Xiaohong Zhang, Chuanfa Liu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vertAlign w:val="superscript"/>
        </w:rPr>
        <w:t>*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. A new method of N to C sequential ligation using TCL and NCL. </w:t>
      </w:r>
      <w:r>
        <w:rPr>
          <w:rFonts w:hint="default" w:ascii="Times New Roman" w:hAnsi="Times New Roman" w:eastAsia="仿宋" w:cs="Times New Roman"/>
          <w:i/>
          <w:color w:val="auto"/>
          <w:sz w:val="24"/>
          <w:szCs w:val="24"/>
        </w:rPr>
        <w:t>Roy Soc Open Sci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, 2018,5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(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6</w:t>
      </w:r>
      <w:r>
        <w:rPr>
          <w:rFonts w:hint="eastAsia" w:ascii="Times New Roman" w:hAnsi="Times New Roman" w:eastAsia="仿宋" w:cs="Times New Roman"/>
          <w:color w:val="auto"/>
          <w:sz w:val="24"/>
          <w:szCs w:val="24"/>
          <w:lang w:val="en-US" w:eastAsia="zh-CN"/>
        </w:rPr>
        <w:t>)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: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1724552018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lang w:eastAsia="zh-CN"/>
        </w:rPr>
        <w:t>）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 Wentao Jiang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vertAlign w:val="superscript"/>
        </w:rPr>
        <w:t>#*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, </w:t>
      </w:r>
      <w:r>
        <w:rPr>
          <w:rFonts w:hint="default" w:ascii="Times New Roman" w:hAnsi="Times New Roman" w:eastAsia="仿宋" w:cs="Times New Roman"/>
          <w:b/>
          <w:color w:val="auto"/>
          <w:sz w:val="24"/>
          <w:szCs w:val="24"/>
        </w:rPr>
        <w:t>Lei Liu</w:t>
      </w:r>
      <w:r>
        <w:rPr>
          <w:rFonts w:hint="default" w:ascii="Times New Roman" w:hAnsi="Times New Roman" w:eastAsia="仿宋" w:cs="Times New Roman"/>
          <w:b/>
          <w:color w:val="auto"/>
          <w:sz w:val="24"/>
          <w:szCs w:val="24"/>
          <w:vertAlign w:val="superscript"/>
        </w:rPr>
        <w:t>#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, Li Zhang, Qingjun Guo, Yujun Cui, Minghui Yang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  <w:vertAlign w:val="superscript"/>
        </w:rPr>
        <w:t>*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 xml:space="preserve">. Sensitive immunosensing of the carcinoembryonic antigen utilizing aptamer-based in-situ formation of a redox-active heteropolyacid and rolling circle amplification. </w:t>
      </w:r>
      <w:r>
        <w:rPr>
          <w:rFonts w:hint="default" w:ascii="Times New Roman" w:hAnsi="Times New Roman" w:eastAsia="仿宋" w:cs="Times New Roman"/>
          <w:i/>
          <w:color w:val="auto"/>
          <w:sz w:val="24"/>
          <w:szCs w:val="24"/>
        </w:rPr>
        <w:t>Microchim Acta</w:t>
      </w:r>
      <w:r>
        <w:rPr>
          <w:rFonts w:hint="default" w:ascii="Times New Roman" w:hAnsi="Times New Roman" w:eastAsia="仿宋" w:cs="Times New Roman"/>
          <w:color w:val="auto"/>
          <w:sz w:val="24"/>
          <w:szCs w:val="24"/>
        </w:rPr>
        <w:t>, 2017,184:4757-4763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28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4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高伟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马宁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史源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丁梅，韩俊峰，施东靖，陈静，沈中阳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vertAlign w:val="superscript"/>
        </w:rPr>
        <w:t>*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. 猪原位肝移植围手术期管理. 中华实验外科杂志, 2018, 35(5): 848-850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5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b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马宁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史源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刘艳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陈静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高思楠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付建峰，隋明昊，沈中阳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vertAlign w:val="superscript"/>
        </w:rPr>
        <w:t>*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 xml:space="preserve">. </w:t>
      </w:r>
      <w:bookmarkStart w:id="0" w:name="OLE_LINK8"/>
      <w:bookmarkStart w:id="1" w:name="OLE_LINK7"/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体外膜肺氧合在猪模拟马斯特里赫特Ⅱ类心脏死亡供肝肝移植中的应用</w:t>
      </w:r>
      <w:bookmarkEnd w:id="0"/>
      <w:bookmarkEnd w:id="1"/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. 中华器官移植杂志, 2016, 37（11）: 682-685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（6）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马宁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高伟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史源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韩俊峰，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高思楠，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丁梅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沈中阳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vertAlign w:val="superscript"/>
        </w:rPr>
        <w:t>*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 xml:space="preserve"> 非静脉转流猪原位肝移植术中管理. 中华实验外科杂志, 2015, 32(10): 2414-2416.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（7）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沈中阳. 体外膜肺氧合在心脏死亡捐献器官功能保护中的作用. 中华危重病急救医学杂志, 2015, 27（3）: 234-236.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（8）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刘懿禾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马宁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史源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韩俊峰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，高思楠，刘艳，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丁梅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沈中阳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vertAlign w:val="superscript"/>
        </w:rPr>
        <w:t>*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. 应用体外膜肺氧合对猪心脏死亡后肝脏的保护作用.中华器官移植杂志, 2015, 36(1): 44-47.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（9）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刘懿禾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马宁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史源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，覃虹，康一生，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丁梅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lang w:eastAsia="zh-CN"/>
        </w:rPr>
        <w:t>，徐倩，张玮晔，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沈中阳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  <w:vertAlign w:val="superscript"/>
        </w:rPr>
        <w:t>*</w:t>
      </w:r>
      <w:r>
        <w:rPr>
          <w:rFonts w:hint="eastAsia" w:ascii="仿宋" w:hAnsi="仿宋" w:eastAsia="仿宋" w:cs="仿宋"/>
          <w:i w:val="0"/>
          <w:iCs w:val="0"/>
          <w:color w:val="auto"/>
          <w:sz w:val="24"/>
          <w:szCs w:val="24"/>
        </w:rPr>
        <w:t>.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 xml:space="preserve"> 马斯特里赫特Ⅱ类心脏死亡捐献模型的建立.</w:t>
      </w:r>
      <w:bookmarkStart w:id="2" w:name="OLE_LINK1"/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 xml:space="preserve"> 中华实验外科杂志, 2014, 31(11): 2614-2615.</w:t>
      </w:r>
    </w:p>
    <w:bookmarkEnd w:id="2"/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（10）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刘懿禾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于立新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，潘澄，孙雁，沈中阳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. 肝肾联合移植术后并发维生素K缺乏一例. 中华器官移植杂志, 2014, 35(8): 506-507.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（11）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刘懿禾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沈中阳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，王兴强，于立新，王峪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 xml:space="preserve"> 等. 肝移植治疗胆道闭锁: 附16例报告. 临床儿科杂志, 2011, 29(8): 785-786.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（12）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刘懿禾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沈中阳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，王兴强，于立新，王峪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. 肝移植术后早期急性肺损伤危险因素分析. 山东医药, 2009, 49(28): 86-88.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（13）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刘懿禾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沈中阳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，刘颖，于立新，王峪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. 低体重小儿肝移植的临床特点. 中国危重病急救医学, 2008, 20(5): 307-309.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（14）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刘懿禾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沈中阳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，于立新，王峪，明宇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. 4例心脏移植患者术后的早期处理. 中国危重病急救医学, 2007, 19(7): 438-439.</w:t>
      </w:r>
    </w:p>
    <w:p>
      <w:pPr>
        <w:pStyle w:val="29"/>
        <w:keepNext w:val="0"/>
        <w:keepLines w:val="0"/>
        <w:pageBreakBefore w:val="0"/>
        <w:widowControl w:val="0"/>
        <w:tabs>
          <w:tab w:val="left" w:pos="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="12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</w:pP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val="en-US" w:eastAsia="zh-CN"/>
        </w:rPr>
        <w:t>（15）</w:t>
      </w:r>
      <w:r>
        <w:rPr>
          <w:rFonts w:hint="eastAsia" w:ascii="仿宋" w:hAnsi="仿宋" w:eastAsia="仿宋" w:cs="仿宋"/>
          <w:b/>
          <w:bCs w:val="0"/>
          <w:i w:val="0"/>
          <w:iCs w:val="0"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朱志军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沈中阳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  <w:vertAlign w:val="superscript"/>
          <w:lang w:val="en-US" w:eastAsia="zh-CN"/>
        </w:rPr>
        <w:t>*</w:t>
      </w:r>
      <w:r>
        <w:rPr>
          <w:rFonts w:hint="eastAsia" w:ascii="仿宋" w:hAnsi="仿宋" w:eastAsia="仿宋" w:cs="仿宋"/>
          <w:b w:val="0"/>
          <w:bCs/>
          <w:i w:val="0"/>
          <w:iCs w:val="0"/>
          <w:color w:val="auto"/>
          <w:sz w:val="24"/>
          <w:szCs w:val="24"/>
        </w:rPr>
        <w:t>. 微透析技术在肝脏移植中的应用. 中华肝胆外科杂志,  2007, 13(2): 139-141.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4.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获得的学术成果奖励（标注名次）</w:t>
      </w:r>
    </w:p>
    <w:p>
      <w:pPr>
        <w:pStyle w:val="29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after="240" w:line="360" w:lineRule="auto"/>
        <w:ind w:firstLine="0" w:firstLineChars="0"/>
        <w:jc w:val="both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（1）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沈中阳，陈新国，潘澄，徐光勋，李威，蒋文涛，淮明生，</w:t>
      </w:r>
      <w:r>
        <w:rPr>
          <w:rFonts w:hint="eastAsia" w:ascii="仿宋" w:hAnsi="仿宋" w:eastAsia="仿宋" w:cs="仿宋"/>
          <w:b/>
          <w:color w:val="auto"/>
          <w:sz w:val="24"/>
          <w:szCs w:val="24"/>
        </w:rPr>
        <w:t>刘蕾</w:t>
      </w:r>
      <w:r>
        <w:rPr>
          <w:rFonts w:hint="eastAsia" w:ascii="仿宋" w:hAnsi="仿宋" w:eastAsia="仿宋" w:cs="仿宋"/>
          <w:color w:val="auto"/>
          <w:sz w:val="24"/>
          <w:szCs w:val="24"/>
        </w:rPr>
        <w:t>，郑虹，邓永林，牛玉坚，高伟，沈文，关兆杰，任秀昀</w:t>
      </w:r>
      <w:r>
        <w:rPr>
          <w:rFonts w:hint="eastAsia" w:ascii="仿宋" w:hAnsi="仿宋" w:eastAsia="仿宋" w:cs="仿宋"/>
          <w:color w:val="auto"/>
          <w:sz w:val="24"/>
          <w:szCs w:val="24"/>
          <w:lang w:val="en-US" w:eastAsia="zh-CN"/>
        </w:rPr>
        <w:t>.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活体肝移植核心技术的应用研究. 2014年度中华医学科技奖三等奖，第八完成人.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5.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获得的发明专利（标注名次）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240" w:line="360" w:lineRule="auto"/>
        <w:textAlignment w:val="auto"/>
        <w:rPr>
          <w:rFonts w:hint="default" w:ascii="仿宋" w:hAnsi="仿宋" w:eastAsia="仿宋" w:cs="仿宋"/>
          <w:color w:val="auto"/>
          <w:kern w:val="0"/>
          <w:sz w:val="24"/>
          <w:szCs w:val="24"/>
          <w:lang w:val="en-US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1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沈中阳，郑虹，邓永林，潘澄，高伟，</w:t>
      </w:r>
      <w:r>
        <w:rPr>
          <w:rFonts w:hint="eastAsia" w:ascii="仿宋" w:hAnsi="仿宋" w:eastAsia="仿宋" w:cs="仿宋"/>
          <w:b/>
          <w:color w:val="auto"/>
          <w:kern w:val="0"/>
          <w:sz w:val="24"/>
          <w:szCs w:val="24"/>
        </w:rPr>
        <w:t>刘蕾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 xml:space="preserve">，史源. </w:t>
      </w:r>
      <w:bookmarkStart w:id="3" w:name="OLE_LINK11"/>
      <w:bookmarkStart w:id="4" w:name="OLE_LINK10"/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一种便携式肝脏常温保存装置</w:t>
      </w:r>
      <w:bookmarkEnd w:id="3"/>
      <w:bookmarkEnd w:id="4"/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. 专利号：ZL 2015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105407023，第六完成人.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 xml:space="preserve">6.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</w:rPr>
        <w:t>主持过的科研项目（项目名称；项目编号；级别；经费；起止日期）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20"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1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低温机械灌注减轻小肠缺血再灌注损伤的研究，20JCYBJC00980，天津市科学技术局，天津市自然科学基金面上项目，20万元，2020.04-2023.03，在研，主持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20"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2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建立完整的器官保存及体外修复体系与心脏死亡捐献器官的评估、筛选标准，2012AA021001，中华人民共和国科学技术部，国家高技术研究发展计划（863计划）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，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914万元，2012.01-2015.12，已结题，主持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after="120" w:line="360" w:lineRule="auto"/>
        <w:textAlignment w:val="auto"/>
        <w:rPr>
          <w:rFonts w:hint="eastAsia" w:ascii="仿宋" w:hAnsi="仿宋" w:eastAsia="仿宋" w:cs="仿宋"/>
          <w:color w:val="auto"/>
          <w:kern w:val="0"/>
          <w:sz w:val="24"/>
          <w:szCs w:val="24"/>
        </w:rPr>
      </w:pP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  <w:lang w:eastAsia="zh-CN"/>
        </w:rPr>
        <w:t>）</w:t>
      </w:r>
      <w:r>
        <w:rPr>
          <w:rFonts w:hint="eastAsia" w:ascii="仿宋" w:hAnsi="仿宋" w:eastAsia="仿宋" w:cs="仿宋"/>
          <w:color w:val="auto"/>
          <w:kern w:val="0"/>
          <w:sz w:val="24"/>
          <w:szCs w:val="24"/>
        </w:rPr>
        <w:t>血清sIL-2R、胆汁IL-6水平在肝移植术后急性肾功能衰竭患者免疫抑制剂调节中的应用，09KZ30，天津市卫生局科技基金，1万元，2009.04-2011.03，已结题，主持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  <w:lang w:val="en-US" w:eastAsia="zh-CN"/>
        </w:rPr>
        <w:t xml:space="preserve">7. </w:t>
      </w: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获得的学术荣誉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color w:val="auto"/>
          <w:sz w:val="24"/>
          <w:szCs w:val="24"/>
          <w:lang w:val="en-US" w:eastAsia="zh-CN"/>
        </w:rPr>
        <w:t>无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360" w:beforeAutospacing="0" w:afterAutospacing="0" w:line="360" w:lineRule="auto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shd w:val="clear" w:color="auto" w:fill="FFFFFF"/>
        </w:rPr>
        <w:t>学术兼职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中华医学会器官移植学分会移植基础学组委员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  <w:r>
        <w:rPr>
          <w:rFonts w:hint="eastAsia" w:ascii="仿宋" w:hAnsi="仿宋" w:eastAsia="仿宋" w:cs="仿宋"/>
          <w:color w:val="auto"/>
          <w:sz w:val="24"/>
          <w:szCs w:val="24"/>
        </w:rPr>
        <w:t>天津市医学会肝病学分会委员</w:t>
      </w:r>
    </w:p>
    <w:p>
      <w:pPr>
        <w:pStyle w:val="6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textAlignment w:val="auto"/>
        <w:rPr>
          <w:rFonts w:hint="eastAsia" w:ascii="仿宋" w:hAnsi="仿宋" w:eastAsia="仿宋" w:cs="仿宋"/>
          <w:color w:val="auto"/>
          <w:sz w:val="24"/>
          <w:szCs w:val="24"/>
        </w:rPr>
      </w:pPr>
    </w:p>
    <w:p>
      <w:pPr>
        <w:pStyle w:val="6"/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="0" w:leftChars="0" w:firstLine="0" w:firstLineChars="0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24"/>
          <w:lang w:val="en-US" w:eastAsia="zh-CN"/>
        </w:rPr>
        <w:t>联系方式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360" w:lineRule="auto"/>
        <w:ind w:leftChars="0"/>
        <w:textAlignment w:val="auto"/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</w:pPr>
      <w:r>
        <w:rPr>
          <w:rFonts w:hint="default" w:ascii="Times New Roman" w:hAnsi="Times New Roman" w:eastAsia="仿宋" w:cs="Times New Roman"/>
          <w:color w:val="auto"/>
          <w:sz w:val="24"/>
          <w:szCs w:val="24"/>
          <w:lang w:val="en-US" w:eastAsia="zh-CN"/>
        </w:rPr>
        <w:t>liuleitj@163.com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67B8D47"/>
    <w:multiLevelType w:val="singleLevel"/>
    <w:tmpl w:val="F67B8D47"/>
    <w:lvl w:ilvl="0" w:tentative="0">
      <w:start w:val="1"/>
      <w:numFmt w:val="decimal"/>
      <w:suff w:val="space"/>
      <w:lvlText w:val="%1."/>
      <w:lvlJc w:val="left"/>
    </w:lvl>
  </w:abstractNum>
  <w:abstractNum w:abstractNumId="1">
    <w:nsid w:val="37604D3A"/>
    <w:multiLevelType w:val="singleLevel"/>
    <w:tmpl w:val="37604D3A"/>
    <w:lvl w:ilvl="0" w:tentative="0">
      <w:start w:val="8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E82"/>
    <w:rsid w:val="0001790A"/>
    <w:rsid w:val="000846A4"/>
    <w:rsid w:val="000D1C09"/>
    <w:rsid w:val="000F590C"/>
    <w:rsid w:val="00132342"/>
    <w:rsid w:val="00164723"/>
    <w:rsid w:val="001A75F6"/>
    <w:rsid w:val="00263000"/>
    <w:rsid w:val="002E083A"/>
    <w:rsid w:val="002E5774"/>
    <w:rsid w:val="00360CB6"/>
    <w:rsid w:val="00366651"/>
    <w:rsid w:val="00404BCF"/>
    <w:rsid w:val="00412619"/>
    <w:rsid w:val="00427952"/>
    <w:rsid w:val="0054026A"/>
    <w:rsid w:val="006676A1"/>
    <w:rsid w:val="00675F60"/>
    <w:rsid w:val="006C5441"/>
    <w:rsid w:val="00755AC7"/>
    <w:rsid w:val="008225E6"/>
    <w:rsid w:val="0086765D"/>
    <w:rsid w:val="008C28CF"/>
    <w:rsid w:val="008D26A4"/>
    <w:rsid w:val="008D5A10"/>
    <w:rsid w:val="008E5776"/>
    <w:rsid w:val="00A06EFA"/>
    <w:rsid w:val="00BB5E82"/>
    <w:rsid w:val="00C97957"/>
    <w:rsid w:val="00CB386D"/>
    <w:rsid w:val="00D76A4B"/>
    <w:rsid w:val="00E36C06"/>
    <w:rsid w:val="00E5793E"/>
    <w:rsid w:val="00E677FA"/>
    <w:rsid w:val="00F512D9"/>
    <w:rsid w:val="00F73AE9"/>
    <w:rsid w:val="116E67B5"/>
    <w:rsid w:val="1AC9027B"/>
    <w:rsid w:val="214A654E"/>
    <w:rsid w:val="219F1358"/>
    <w:rsid w:val="28130422"/>
    <w:rsid w:val="28247CE1"/>
    <w:rsid w:val="39266FFF"/>
    <w:rsid w:val="3DC620BF"/>
    <w:rsid w:val="3F8802C4"/>
    <w:rsid w:val="41837157"/>
    <w:rsid w:val="456804DB"/>
    <w:rsid w:val="491404DE"/>
    <w:rsid w:val="592B77B4"/>
    <w:rsid w:val="612321ED"/>
    <w:rsid w:val="73A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7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30"/>
    <w:qFormat/>
    <w:uiPriority w:val="0"/>
    <w:rPr>
      <w:sz w:val="18"/>
      <w:szCs w:val="18"/>
    </w:rPr>
  </w:style>
  <w:style w:type="paragraph" w:styleId="4">
    <w:name w:val="footer"/>
    <w:basedOn w:val="1"/>
    <w:link w:val="2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2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Autospacing="1" w:afterAutospacing="1" w:line="15" w:lineRule="atLeast"/>
      <w:jc w:val="left"/>
    </w:pPr>
    <w:rPr>
      <w:rFonts w:ascii="Tahoma" w:hAnsi="Tahoma" w:eastAsia="Tahoma" w:cs="Times New Roman"/>
      <w:color w:val="333333"/>
      <w:kern w:val="0"/>
      <w:sz w:val="18"/>
      <w:szCs w:val="18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item-name"/>
    <w:basedOn w:val="7"/>
    <w:qFormat/>
    <w:uiPriority w:val="0"/>
  </w:style>
  <w:style w:type="character" w:customStyle="1" w:styleId="12">
    <w:name w:val="item-name1"/>
    <w:basedOn w:val="7"/>
    <w:qFormat/>
    <w:uiPriority w:val="0"/>
  </w:style>
  <w:style w:type="character" w:customStyle="1" w:styleId="13">
    <w:name w:val="item-name2"/>
    <w:basedOn w:val="7"/>
    <w:qFormat/>
    <w:uiPriority w:val="0"/>
  </w:style>
  <w:style w:type="character" w:customStyle="1" w:styleId="14">
    <w:name w:val="item-name3"/>
    <w:basedOn w:val="7"/>
    <w:qFormat/>
    <w:uiPriority w:val="0"/>
  </w:style>
  <w:style w:type="character" w:customStyle="1" w:styleId="15">
    <w:name w:val="item-name4"/>
    <w:basedOn w:val="7"/>
    <w:qFormat/>
    <w:uiPriority w:val="0"/>
  </w:style>
  <w:style w:type="character" w:customStyle="1" w:styleId="16">
    <w:name w:val="news_meta"/>
    <w:basedOn w:val="7"/>
    <w:qFormat/>
    <w:uiPriority w:val="0"/>
  </w:style>
  <w:style w:type="character" w:customStyle="1" w:styleId="17">
    <w:name w:val="xubox_tabnow"/>
    <w:basedOn w:val="7"/>
    <w:qFormat/>
    <w:uiPriority w:val="0"/>
    <w:rPr>
      <w:bdr w:val="single" w:color="CCCCCC" w:sz="6" w:space="0"/>
      <w:shd w:val="clear" w:color="auto" w:fill="FFFFFF"/>
    </w:rPr>
  </w:style>
  <w:style w:type="character" w:customStyle="1" w:styleId="18">
    <w:name w:val="column-name12"/>
    <w:basedOn w:val="7"/>
    <w:qFormat/>
    <w:uiPriority w:val="0"/>
    <w:rPr>
      <w:color w:val="124D83"/>
    </w:rPr>
  </w:style>
  <w:style w:type="character" w:customStyle="1" w:styleId="19">
    <w:name w:val="column-name13"/>
    <w:basedOn w:val="7"/>
    <w:qFormat/>
    <w:uiPriority w:val="0"/>
    <w:rPr>
      <w:color w:val="124D83"/>
    </w:rPr>
  </w:style>
  <w:style w:type="character" w:customStyle="1" w:styleId="20">
    <w:name w:val="column-name14"/>
    <w:basedOn w:val="7"/>
    <w:qFormat/>
    <w:uiPriority w:val="0"/>
    <w:rPr>
      <w:color w:val="124D83"/>
    </w:rPr>
  </w:style>
  <w:style w:type="character" w:customStyle="1" w:styleId="21">
    <w:name w:val="column-name15"/>
    <w:basedOn w:val="7"/>
    <w:qFormat/>
    <w:uiPriority w:val="0"/>
    <w:rPr>
      <w:color w:val="124D83"/>
    </w:rPr>
  </w:style>
  <w:style w:type="character" w:customStyle="1" w:styleId="22">
    <w:name w:val="news_title"/>
    <w:basedOn w:val="7"/>
    <w:qFormat/>
    <w:uiPriority w:val="0"/>
  </w:style>
  <w:style w:type="character" w:customStyle="1" w:styleId="23">
    <w:name w:val="news_title1"/>
    <w:basedOn w:val="7"/>
    <w:qFormat/>
    <w:uiPriority w:val="0"/>
  </w:style>
  <w:style w:type="character" w:customStyle="1" w:styleId="24">
    <w:name w:val="news_title2"/>
    <w:basedOn w:val="7"/>
    <w:qFormat/>
    <w:uiPriority w:val="0"/>
  </w:style>
  <w:style w:type="character" w:customStyle="1" w:styleId="25">
    <w:name w:val="more_text"/>
    <w:basedOn w:val="7"/>
    <w:qFormat/>
    <w:uiPriority w:val="0"/>
    <w:rPr>
      <w:color w:val="A9A9A9"/>
    </w:rPr>
  </w:style>
  <w:style w:type="paragraph" w:customStyle="1" w:styleId="26">
    <w:name w:val="arti_metas"/>
    <w:basedOn w:val="1"/>
    <w:qFormat/>
    <w:uiPriority w:val="0"/>
    <w:pPr>
      <w:jc w:val="center"/>
    </w:pPr>
    <w:rPr>
      <w:rFonts w:cs="Times New Roman"/>
      <w:kern w:val="0"/>
    </w:rPr>
  </w:style>
  <w:style w:type="character" w:customStyle="1" w:styleId="27">
    <w:name w:val="页眉 Char"/>
    <w:basedOn w:val="7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8">
    <w:name w:val="页脚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29">
    <w:name w:val="List Paragraph"/>
    <w:basedOn w:val="1"/>
    <w:qFormat/>
    <w:uiPriority w:val="34"/>
    <w:pPr>
      <w:autoSpaceDE w:val="0"/>
      <w:autoSpaceDN w:val="0"/>
      <w:adjustRightInd w:val="0"/>
      <w:ind w:firstLine="420" w:firstLineChars="200"/>
      <w:jc w:val="left"/>
    </w:pPr>
    <w:rPr>
      <w:rFonts w:ascii="Arial" w:hAnsi="Arial" w:eastAsia="宋体" w:cs="Arial"/>
      <w:color w:val="000000"/>
      <w:kern w:val="0"/>
      <w:sz w:val="24"/>
    </w:rPr>
  </w:style>
  <w:style w:type="character" w:customStyle="1" w:styleId="30">
    <w:name w:val="批注框文本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361</Words>
  <Characters>2064</Characters>
  <Lines>17</Lines>
  <Paragraphs>4</Paragraphs>
  <TotalTime>6</TotalTime>
  <ScaleCrop>false</ScaleCrop>
  <LinksUpToDate>false</LinksUpToDate>
  <CharactersWithSpaces>2421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2022-06-21T07:22:00Z</dcterms:created>
  <dc:creator>dell</dc:creator>
  <cp:lastModifiedBy>刘蕾</cp:lastModifiedBy>
  <cp:lastPrinted>2022-06-22T07:27:00Z</cp:lastPrinted>
  <dcterms:modified xsi:type="dcterms:W3CDTF">2022-09-10T08:05:15Z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