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微软雅黑" w:eastAsia="仿宋_GB2312" w:cs="Times New Roman"/>
          <w:b/>
          <w:bCs/>
          <w:sz w:val="36"/>
          <w:szCs w:val="36"/>
        </w:rPr>
      </w:pPr>
      <w:r>
        <w:rPr>
          <w:rFonts w:hint="eastAsia" w:ascii="仿宋_GB2312" w:hAnsi="微软雅黑" w:eastAsia="仿宋_GB2312" w:cs="仿宋_GB2312"/>
          <w:b/>
          <w:bCs/>
          <w:sz w:val="36"/>
          <w:szCs w:val="36"/>
          <w:lang w:eastAsia="zh-CN"/>
        </w:rPr>
        <w:t>龙发青导师</w:t>
      </w:r>
      <w:r>
        <w:rPr>
          <w:rFonts w:hint="eastAsia" w:ascii="仿宋_GB2312" w:hAnsi="微软雅黑" w:eastAsia="仿宋_GB2312" w:cs="仿宋_GB2312"/>
          <w:b/>
          <w:bCs/>
          <w:sz w:val="36"/>
          <w:szCs w:val="36"/>
        </w:rPr>
        <w:t>简历</w:t>
      </w:r>
    </w:p>
    <w:p>
      <w:pPr>
        <w:spacing w:line="240" w:lineRule="auto"/>
        <w:jc w:val="center"/>
        <w:rPr>
          <w:rFonts w:ascii="仿宋_GB2312" w:hAnsi="仿宋" w:eastAsia="仿宋_GB2312" w:cs="Times New Roman"/>
          <w:b/>
          <w:bCs/>
          <w:sz w:val="28"/>
          <w:szCs w:val="28"/>
        </w:rPr>
      </w:pPr>
      <w:r>
        <w:rPr>
          <w:rFonts w:hint="eastAsia" w:ascii="仿宋_GB2312" w:hAnsi="仿宋" w:eastAsia="仿宋_GB2312" w:cs="Times New Roman"/>
          <w:b/>
          <w:bCs/>
          <w:sz w:val="28"/>
          <w:szCs w:val="28"/>
          <w:lang w:eastAsia="zh-CN"/>
        </w:rPr>
        <w:drawing>
          <wp:inline distT="0" distB="0" distL="114300" distR="114300">
            <wp:extent cx="1371600" cy="1828800"/>
            <wp:effectExtent l="0" t="0" r="0" b="0"/>
            <wp:docPr id="1" name="图片 1" descr="龙发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龙发青"/>
                    <pic:cNvPicPr>
                      <a:picLocks noChangeAspect="1"/>
                    </pic:cNvPicPr>
                  </pic:nvPicPr>
                  <pic:blipFill>
                    <a:blip r:embed="rId5"/>
                    <a:stretch>
                      <a:fillRect/>
                    </a:stretch>
                  </pic:blipFill>
                  <pic:spPr>
                    <a:xfrm>
                      <a:off x="0" y="0"/>
                      <a:ext cx="1371600" cy="1828800"/>
                    </a:xfrm>
                    <a:prstGeom prst="rect">
                      <a:avLst/>
                    </a:prstGeom>
                  </pic:spPr>
                </pic:pic>
              </a:graphicData>
            </a:graphic>
          </wp:inline>
        </w:drawing>
      </w:r>
    </w:p>
    <w:p>
      <w:pPr>
        <w:spacing w:line="600" w:lineRule="exact"/>
        <w:rPr>
          <w:rFonts w:ascii="仿宋_GB2312" w:hAnsi="仿宋" w:eastAsia="仿宋_GB2312" w:cs="Times New Roman"/>
          <w:b/>
          <w:bCs/>
          <w:sz w:val="28"/>
          <w:szCs w:val="28"/>
        </w:rPr>
      </w:pPr>
      <w:r>
        <w:rPr>
          <w:rFonts w:hint="eastAsia" w:ascii="仿宋_GB2312" w:hAnsi="仿宋" w:eastAsia="仿宋_GB2312" w:cs="仿宋_GB2312"/>
          <w:b/>
          <w:bCs/>
          <w:sz w:val="28"/>
          <w:szCs w:val="28"/>
        </w:rPr>
        <w:t>一、导师个人情况</w:t>
      </w:r>
    </w:p>
    <w:p>
      <w:pPr>
        <w:ind w:firstLine="560" w:firstLineChars="200"/>
        <w:jc w:val="left"/>
        <w:rPr>
          <w:rFonts w:ascii="宋体" w:hAnsi="宋体" w:cs="宋体"/>
          <w:sz w:val="28"/>
          <w:szCs w:val="28"/>
        </w:rPr>
      </w:pPr>
      <w:r>
        <w:rPr>
          <w:rFonts w:hint="eastAsia" w:ascii="宋体" w:hAnsi="宋体" w:cs="宋体"/>
          <w:sz w:val="28"/>
          <w:szCs w:val="28"/>
        </w:rPr>
        <w:t>龙发青，男，汉族，1978年2月出生，湖北省荆门市人，中共党员，医学硕士，主任医师，硕士研究生导师。海南医学院第二附属医院神经内科规范化培训基地教学主任。中国医师协会神经介入专业委员会缺血性脑血管病专业委员会 委员（国家级），海南省医师协会神经介入专业委员会常委，海南省医学会神经内科专业委员会常委。</w:t>
      </w:r>
    </w:p>
    <w:p>
      <w:pPr>
        <w:ind w:firstLine="560"/>
        <w:jc w:val="left"/>
        <w:rPr>
          <w:rFonts w:ascii="宋体" w:hAnsi="宋体" w:cs="宋体"/>
          <w:bCs/>
          <w:sz w:val="28"/>
          <w:szCs w:val="28"/>
        </w:rPr>
      </w:pPr>
      <w:r>
        <w:rPr>
          <w:rFonts w:hint="eastAsia" w:ascii="宋体" w:hAnsi="宋体" w:cs="宋体"/>
          <w:bCs/>
          <w:sz w:val="28"/>
          <w:szCs w:val="28"/>
        </w:rPr>
        <w:t>自2013年到北京宣武医院进修神经介入技术后，回医院逐步开展神经介入治疗，并带领神经内科介入团队逐年壮大。现带领我院神经内科介入团队能独立开展全脑血管造影术、颅内/颅外血管（颈动脉、椎动脉、大脑中动脉、椎基底动脉等）狭窄球囊扩张及支架植入术、静脉窦血栓的取栓术、急性脑梗死的急诊介入取栓/溶栓/支架术，挽救了大量的脑梗死患者，改善了诸多患者的偏瘫症状，让患者重归生活，减轻了患者家庭及社会的负担。</w:t>
      </w:r>
    </w:p>
    <w:p>
      <w:pPr>
        <w:ind w:firstLine="560" w:firstLineChars="200"/>
        <w:jc w:val="left"/>
        <w:rPr>
          <w:rFonts w:ascii="宋体" w:hAnsi="宋体" w:cs="宋体"/>
          <w:bCs/>
          <w:sz w:val="28"/>
          <w:szCs w:val="28"/>
        </w:rPr>
      </w:pPr>
      <w:r>
        <w:rPr>
          <w:rFonts w:hint="eastAsia" w:ascii="宋体" w:hAnsi="宋体" w:cs="宋体"/>
          <w:bCs/>
          <w:sz w:val="28"/>
          <w:szCs w:val="28"/>
        </w:rPr>
        <w:t>积极参与科研课题研究，主持1项</w:t>
      </w:r>
      <w:r>
        <w:rPr>
          <w:rFonts w:hint="eastAsia" w:cs="宋体" w:asciiTheme="minorEastAsia" w:hAnsiTheme="minorEastAsia" w:eastAsiaTheme="minorEastAsia"/>
          <w:sz w:val="28"/>
          <w:szCs w:val="28"/>
        </w:rPr>
        <w:t>国家自然科学基金项目，并</w:t>
      </w:r>
      <w:r>
        <w:rPr>
          <w:rFonts w:hint="eastAsia" w:ascii="宋体" w:hAnsi="宋体" w:cs="宋体"/>
          <w:bCs/>
          <w:sz w:val="28"/>
          <w:szCs w:val="28"/>
        </w:rPr>
        <w:t>主持有2项省市级课题项目，</w:t>
      </w:r>
      <w:r>
        <w:rPr>
          <w:rFonts w:hint="eastAsia" w:ascii="宋体" w:hAnsi="宋体" w:cs="宋体"/>
          <w:sz w:val="28"/>
          <w:szCs w:val="28"/>
        </w:rPr>
        <w:t>同时积极参与</w:t>
      </w:r>
      <w:r>
        <w:rPr>
          <w:rFonts w:hint="eastAsia" w:ascii="宋体" w:hAnsi="宋体" w:cs="宋体"/>
          <w:bCs/>
          <w:sz w:val="28"/>
          <w:szCs w:val="28"/>
        </w:rPr>
        <w:t>科室内的相关重大科研课题，同时积极参与国内重大课题及国外重大课题合作。参与完成了中华人民共和国科技部“十二五”国家科技支持计划：1）脑血管病急性期诊疗技术规范化应用和医疗质量评价与持续改进技术研究（课题编号：2011BAI08B02），2）脑血管病二级预防方案优化与推广应用研究（项目编号：2011BAI08A03），参与完成国际课题项目（来源于乔治全球健康研究院/悉尼大学）：ENCHANTED（ENhanced Control of Hypertension ANd Thrombolysis strokE StuDy）(改进高血压管理和溶栓治疗的卒中研究,一项国际性的随机对照试验，旨在确定对急性缺血性卒中患者使用低剂量rtPA和早期积极降血压的疗效）。</w:t>
      </w:r>
    </w:p>
    <w:p>
      <w:pPr>
        <w:ind w:firstLine="560"/>
        <w:jc w:val="left"/>
        <w:rPr>
          <w:rFonts w:ascii="宋体" w:hAnsi="宋体" w:cs="宋体"/>
          <w:bCs/>
          <w:sz w:val="28"/>
          <w:szCs w:val="28"/>
        </w:rPr>
      </w:pPr>
      <w:r>
        <w:rPr>
          <w:rFonts w:hint="eastAsia" w:ascii="宋体" w:hAnsi="宋体" w:cs="宋体"/>
          <w:bCs/>
          <w:sz w:val="28"/>
          <w:szCs w:val="28"/>
        </w:rPr>
        <w:t>通过负责的课题项目及参与项目，近年来发表国内外论文近20篇，其中以第一作者/共同第一作者/通讯作者发表论文8篇，SCI收录6篇。参与编书2部：1、《急性缺血性脑卒中病例解析》；2、《高脂血症合理治疗答疑》，其中《急性缺血性脑卒中病例解析》为副主编。成功申请了2018年海南省继续教育项目：急性脑梗死的治疗新进展培训班，并圆满的完成了培训班的继续教育项目。</w:t>
      </w:r>
    </w:p>
    <w:p>
      <w:pPr>
        <w:spacing w:line="600" w:lineRule="exact"/>
        <w:rPr>
          <w:rStyle w:val="8"/>
          <w:rFonts w:ascii="仿宋_GB2312" w:hAnsi="黑体" w:eastAsia="仿宋_GB2312" w:cs="Times New Roman"/>
          <w:kern w:val="0"/>
          <w:sz w:val="32"/>
          <w:szCs w:val="32"/>
        </w:rPr>
      </w:pPr>
      <w:r>
        <w:rPr>
          <w:rStyle w:val="8"/>
          <w:rFonts w:hint="eastAsia" w:ascii="仿宋_GB2312" w:hAnsi="黑体" w:eastAsia="仿宋_GB2312" w:cs="仿宋_GB2312"/>
          <w:kern w:val="0"/>
          <w:sz w:val="32"/>
          <w:szCs w:val="32"/>
        </w:rPr>
        <w:t>二、研究方向</w:t>
      </w:r>
    </w:p>
    <w:p>
      <w:pPr>
        <w:spacing w:line="600" w:lineRule="exact"/>
        <w:ind w:firstLine="560" w:firstLineChars="200"/>
        <w:rPr>
          <w:rStyle w:val="8"/>
          <w:rFonts w:ascii="仿宋_GB2312" w:hAnsi="黑体" w:eastAsia="仿宋_GB2312" w:cs="仿宋_GB2312"/>
          <w:b w:val="0"/>
          <w:bCs w:val="0"/>
          <w:kern w:val="0"/>
          <w:sz w:val="28"/>
          <w:szCs w:val="28"/>
        </w:rPr>
      </w:pPr>
      <w:r>
        <w:rPr>
          <w:rStyle w:val="8"/>
          <w:rFonts w:hint="eastAsia" w:ascii="仿宋_GB2312" w:hAnsi="黑体" w:eastAsia="仿宋_GB2312" w:cs="仿宋_GB2312"/>
          <w:b w:val="0"/>
          <w:bCs w:val="0"/>
          <w:kern w:val="0"/>
          <w:sz w:val="28"/>
          <w:szCs w:val="28"/>
        </w:rPr>
        <w:t>脑血管病</w:t>
      </w:r>
    </w:p>
    <w:p>
      <w:pPr>
        <w:spacing w:line="600" w:lineRule="exact"/>
        <w:rPr>
          <w:rStyle w:val="8"/>
          <w:rFonts w:ascii="仿宋_GB2312" w:hAnsi="黑体" w:eastAsia="仿宋_GB2312" w:cs="Times New Roman"/>
          <w:kern w:val="0"/>
          <w:sz w:val="28"/>
          <w:szCs w:val="28"/>
        </w:rPr>
      </w:pPr>
      <w:r>
        <w:rPr>
          <w:rStyle w:val="8"/>
          <w:rFonts w:hint="eastAsia" w:ascii="仿宋_GB2312" w:hAnsi="黑体" w:eastAsia="仿宋_GB2312" w:cs="仿宋_GB2312"/>
          <w:kern w:val="0"/>
          <w:sz w:val="28"/>
          <w:szCs w:val="28"/>
        </w:rPr>
        <w:t>三、发表的学术论文和专著</w:t>
      </w:r>
    </w:p>
    <w:p>
      <w:pPr>
        <w:spacing w:line="660" w:lineRule="exact"/>
        <w:jc w:val="left"/>
        <w:rPr>
          <w:rFonts w:ascii="仿宋_GB2312" w:hAnsi="微软雅黑" w:eastAsia="仿宋_GB2312" w:cs="Times New Roman"/>
          <w:sz w:val="28"/>
          <w:szCs w:val="28"/>
        </w:rPr>
      </w:pPr>
      <w:r>
        <w:rPr>
          <w:rFonts w:ascii="仿宋_GB2312" w:hAnsi="微软雅黑" w:eastAsia="仿宋_GB2312" w:cs="仿宋_GB2312"/>
          <w:sz w:val="28"/>
          <w:szCs w:val="28"/>
        </w:rPr>
        <w:t>1</w:t>
      </w:r>
      <w:r>
        <w:rPr>
          <w:rFonts w:hint="eastAsia" w:ascii="仿宋_GB2312" w:hAnsi="微软雅黑" w:eastAsia="仿宋_GB2312" w:cs="仿宋_GB2312"/>
          <w:sz w:val="28"/>
          <w:szCs w:val="28"/>
        </w:rPr>
        <w:t>、发表学术论文</w:t>
      </w:r>
    </w:p>
    <w:p>
      <w:pPr>
        <w:widowControl/>
        <w:spacing w:line="360" w:lineRule="auto"/>
        <w:ind w:left="480" w:hanging="480" w:hanging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[1] </w:t>
      </w:r>
      <w:r>
        <w:rPr>
          <w:rFonts w:hint="eastAsia" w:ascii="宋体" w:hAnsi="宋体" w:cs="宋体"/>
          <w:b/>
          <w:color w:val="000000"/>
          <w:kern w:val="0"/>
          <w:sz w:val="24"/>
          <w:szCs w:val="24"/>
          <w:lang w:bidi="ar"/>
        </w:rPr>
        <w:t>Fa Qing Long，</w:t>
      </w:r>
      <w:r>
        <w:rPr>
          <w:rFonts w:hint="eastAsia" w:ascii="宋体" w:hAnsi="宋体" w:cs="宋体"/>
          <w:color w:val="000000"/>
          <w:kern w:val="0"/>
          <w:sz w:val="24"/>
          <w:szCs w:val="24"/>
          <w:lang w:bidi="ar"/>
        </w:rPr>
        <w:t>Yi Cai，Qing Jie Su，Jing Xia Zhou，De Sheng Wang.</w:t>
      </w:r>
      <w:r>
        <w:rPr>
          <w:rFonts w:hint="eastAsia" w:ascii="宋体" w:hAnsi="宋体" w:cs="宋体"/>
          <w:color w:val="0066CC"/>
          <w:kern w:val="0"/>
          <w:sz w:val="24"/>
          <w:szCs w:val="24"/>
          <w:lang w:bidi="ar"/>
        </w:rPr>
        <w:t xml:space="preserve">LncRNA SNHG12 ameliorates brain microvascular endothelial cell injury by targeting miR-199a </w:t>
      </w:r>
      <w:r>
        <w:rPr>
          <w:rFonts w:hint="eastAsia" w:ascii="宋体" w:hAnsi="宋体" w:cs="宋体"/>
          <w:color w:val="000000"/>
          <w:kern w:val="0"/>
          <w:sz w:val="24"/>
          <w:szCs w:val="24"/>
          <w:lang w:bidi="ar"/>
        </w:rPr>
        <w:t>, Neural Regeneration Research, 2018, 13(11): 1919-1926.(第一作者)</w:t>
      </w:r>
    </w:p>
    <w:p>
      <w:pPr>
        <w:widowControl/>
        <w:spacing w:line="360" w:lineRule="auto"/>
        <w:ind w:left="480" w:hanging="480" w:hangingChars="200"/>
        <w:jc w:val="left"/>
        <w:rPr>
          <w:rFonts w:ascii="宋体" w:hAnsi="宋体" w:cs="宋体"/>
          <w:sz w:val="24"/>
          <w:szCs w:val="24"/>
        </w:rPr>
      </w:pPr>
      <w:r>
        <w:rPr>
          <w:rFonts w:hint="eastAsia" w:ascii="宋体" w:hAnsi="宋体" w:cs="宋体"/>
          <w:color w:val="000000"/>
          <w:kern w:val="0"/>
          <w:sz w:val="24"/>
          <w:szCs w:val="24"/>
          <w:lang w:bidi="ar"/>
        </w:rPr>
        <w:t>[2] Cai Yi;Wu Shaofang;Zeng Chaosheng;Su Qingjie;Zhou Jingxia;</w:t>
      </w:r>
      <w:r>
        <w:rPr>
          <w:rFonts w:hint="eastAsia" w:ascii="宋体" w:hAnsi="宋体" w:cs="宋体"/>
          <w:b/>
          <w:color w:val="000000"/>
          <w:kern w:val="0"/>
          <w:sz w:val="24"/>
          <w:szCs w:val="24"/>
          <w:lang w:bidi="ar"/>
        </w:rPr>
        <w:t>Long Faqing,</w:t>
      </w:r>
      <w:r>
        <w:rPr>
          <w:rFonts w:hint="eastAsia" w:ascii="宋体" w:hAnsi="宋体" w:cs="宋体"/>
          <w:color w:val="000000"/>
          <w:kern w:val="0"/>
          <w:sz w:val="24"/>
          <w:szCs w:val="24"/>
          <w:lang w:bidi="ar"/>
        </w:rPr>
        <w:t xml:space="preserve"> </w:t>
      </w:r>
      <w:r>
        <w:rPr>
          <w:rFonts w:hint="eastAsia" w:ascii="宋体" w:hAnsi="宋体" w:cs="宋体"/>
          <w:color w:val="0066CC"/>
          <w:kern w:val="0"/>
          <w:sz w:val="24"/>
          <w:szCs w:val="24"/>
          <w:lang w:bidi="ar"/>
        </w:rPr>
        <w:t>Associations of TF Gene Polymorphisms with the Risk of Ischemic Stroke</w:t>
      </w:r>
      <w:r>
        <w:rPr>
          <w:rFonts w:hint="eastAsia" w:ascii="宋体" w:hAnsi="宋体" w:cs="宋体"/>
          <w:color w:val="000000"/>
          <w:kern w:val="0"/>
          <w:sz w:val="24"/>
          <w:szCs w:val="24"/>
          <w:lang w:bidi="ar"/>
        </w:rPr>
        <w:t xml:space="preserve">, Journal of Molecular Neuroscience, 2018.65(3): 359-366   （通讯作者）  </w:t>
      </w:r>
    </w:p>
    <w:p>
      <w:pPr>
        <w:widowControl/>
        <w:spacing w:line="360" w:lineRule="auto"/>
        <w:ind w:left="480" w:hanging="480" w:hanging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 Qingjie Su;Chaoyun Li;Bin Chen; Zhongqin Wan;</w:t>
      </w:r>
      <w:r>
        <w:rPr>
          <w:rFonts w:hint="eastAsia" w:ascii="宋体" w:hAnsi="宋体" w:cs="宋体"/>
          <w:b/>
          <w:color w:val="000000"/>
          <w:kern w:val="0"/>
          <w:sz w:val="24"/>
          <w:szCs w:val="24"/>
          <w:lang w:bidi="ar"/>
        </w:rPr>
        <w:t>Faqing Long</w:t>
      </w:r>
      <w:r>
        <w:rPr>
          <w:rFonts w:hint="eastAsia" w:ascii="宋体" w:hAnsi="宋体" w:cs="宋体"/>
          <w:color w:val="000000"/>
          <w:kern w:val="0"/>
          <w:sz w:val="24"/>
          <w:szCs w:val="24"/>
          <w:lang w:bidi="ar"/>
        </w:rPr>
        <w:t xml:space="preserve">(#), </w:t>
      </w:r>
      <w:r>
        <w:rPr>
          <w:rFonts w:hint="eastAsia" w:ascii="宋体" w:hAnsi="宋体" w:cs="宋体"/>
          <w:color w:val="0066CC"/>
          <w:kern w:val="0"/>
          <w:sz w:val="24"/>
          <w:szCs w:val="24"/>
          <w:lang w:bidi="ar"/>
        </w:rPr>
        <w:t xml:space="preserve">Effects of a health promotion program on medication adherence to antiplatelet therapy among ischemic stroke patients in Hainan Province, China </w:t>
      </w:r>
      <w:r>
        <w:rPr>
          <w:rFonts w:hint="eastAsia" w:ascii="宋体" w:hAnsi="宋体" w:cs="宋体"/>
          <w:color w:val="000000"/>
          <w:kern w:val="0"/>
          <w:sz w:val="24"/>
          <w:szCs w:val="24"/>
          <w:lang w:bidi="ar"/>
        </w:rPr>
        <w:t>, Vascular, 2017，25(3): 242-248   （共同第一作者）</w:t>
      </w:r>
    </w:p>
    <w:p>
      <w:pPr>
        <w:widowControl/>
        <w:spacing w:line="360" w:lineRule="auto"/>
        <w:ind w:left="480" w:hanging="480" w:hangingChars="200"/>
        <w:jc w:val="left"/>
        <w:rPr>
          <w:rFonts w:ascii="宋体" w:hAnsi="宋体" w:cs="宋体"/>
          <w:sz w:val="24"/>
          <w:szCs w:val="24"/>
        </w:rPr>
      </w:pPr>
      <w:r>
        <w:rPr>
          <w:rFonts w:hint="eastAsia" w:ascii="宋体" w:hAnsi="宋体" w:cs="宋体"/>
          <w:color w:val="000000"/>
          <w:kern w:val="0"/>
          <w:sz w:val="24"/>
          <w:szCs w:val="24"/>
          <w:lang w:bidi="ar"/>
        </w:rPr>
        <w:t xml:space="preserve">[4] Cai Yi;Zeng Chaosheng;Su Qingjie;Zhou Jingxia;Li Pengxiang; </w:t>
      </w:r>
      <w:r>
        <w:rPr>
          <w:rFonts w:hint="eastAsia" w:ascii="宋体" w:hAnsi="宋体" w:cs="宋体"/>
          <w:b/>
          <w:color w:val="000000"/>
          <w:kern w:val="0"/>
          <w:sz w:val="24"/>
          <w:szCs w:val="24"/>
          <w:lang w:bidi="ar"/>
        </w:rPr>
        <w:t>Long Faqing</w:t>
      </w:r>
      <w:r>
        <w:rPr>
          <w:rFonts w:hint="eastAsia" w:ascii="宋体" w:hAnsi="宋体" w:cs="宋体"/>
          <w:color w:val="000000"/>
          <w:kern w:val="0"/>
          <w:sz w:val="24"/>
          <w:szCs w:val="24"/>
          <w:lang w:bidi="ar"/>
        </w:rPr>
        <w:t xml:space="preserve">, </w:t>
      </w:r>
      <w:r>
        <w:rPr>
          <w:rFonts w:hint="eastAsia" w:ascii="宋体" w:hAnsi="宋体" w:cs="宋体"/>
          <w:color w:val="0066CC"/>
          <w:kern w:val="0"/>
          <w:sz w:val="24"/>
          <w:szCs w:val="24"/>
          <w:lang w:bidi="ar"/>
        </w:rPr>
        <w:t xml:space="preserve">Association of RTEL1 gene polymorphisms with stroke risk in a Chinese Han population </w:t>
      </w:r>
      <w:r>
        <w:rPr>
          <w:rFonts w:hint="eastAsia" w:ascii="宋体" w:hAnsi="宋体" w:cs="宋体"/>
          <w:color w:val="000000"/>
          <w:kern w:val="0"/>
          <w:sz w:val="24"/>
          <w:szCs w:val="24"/>
          <w:lang w:bidi="ar"/>
        </w:rPr>
        <w:t xml:space="preserve">,Oncotarget, 2017,8(70):114995-115001    (通讯作者) </w:t>
      </w:r>
    </w:p>
    <w:p>
      <w:pPr>
        <w:widowControl/>
        <w:spacing w:line="360" w:lineRule="auto"/>
        <w:ind w:left="480" w:hanging="480" w:hanging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[5] Su Qingjie;Yuan Kunxiong;Wan Zhongqin;Li Chaoyun;</w:t>
      </w:r>
      <w:r>
        <w:rPr>
          <w:rFonts w:hint="eastAsia" w:ascii="宋体" w:hAnsi="宋体" w:cs="宋体"/>
          <w:b/>
          <w:color w:val="000000"/>
          <w:kern w:val="0"/>
          <w:sz w:val="24"/>
          <w:szCs w:val="24"/>
          <w:lang w:bidi="ar"/>
        </w:rPr>
        <w:t>Long Faqing；</w:t>
      </w:r>
      <w:r>
        <w:rPr>
          <w:rFonts w:hint="eastAsia" w:ascii="宋体" w:hAnsi="宋体" w:cs="宋体"/>
          <w:color w:val="000000"/>
          <w:kern w:val="0"/>
          <w:sz w:val="24"/>
          <w:szCs w:val="24"/>
          <w:lang w:bidi="ar"/>
        </w:rPr>
        <w:t>Cai Yi; Zeng Chaosheng.</w:t>
      </w:r>
      <w:r>
        <w:rPr>
          <w:rFonts w:hint="eastAsia" w:ascii="宋体" w:hAnsi="宋体" w:cs="宋体"/>
          <w:color w:val="0066CC"/>
          <w:kern w:val="0"/>
          <w:sz w:val="24"/>
          <w:szCs w:val="24"/>
          <w:lang w:bidi="ar"/>
        </w:rPr>
        <w:t xml:space="preserve">Evaluation on the compliance with secondary prevention and influence factors of ischemic stroke in Hainan province, China </w:t>
      </w:r>
      <w:r>
        <w:rPr>
          <w:rFonts w:hint="eastAsia" w:ascii="宋体" w:hAnsi="宋体" w:cs="宋体"/>
          <w:color w:val="000000"/>
          <w:kern w:val="0"/>
          <w:sz w:val="24"/>
          <w:szCs w:val="24"/>
          <w:lang w:bidi="ar"/>
        </w:rPr>
        <w:t>, Vascular, 2014,22(3): 181-187 （共同第一作者）</w:t>
      </w:r>
    </w:p>
    <w:p>
      <w:pPr>
        <w:spacing w:line="660" w:lineRule="exact"/>
        <w:jc w:val="left"/>
        <w:rPr>
          <w:rFonts w:ascii="仿宋_GB2312" w:hAnsi="微软雅黑" w:eastAsia="仿宋_GB2312" w:cs="Times New Roman"/>
          <w:sz w:val="28"/>
          <w:szCs w:val="28"/>
        </w:rPr>
      </w:pPr>
      <w:r>
        <w:rPr>
          <w:rFonts w:ascii="仿宋_GB2312" w:hAnsi="微软雅黑" w:eastAsia="仿宋_GB2312" w:cs="仿宋_GB2312"/>
          <w:sz w:val="28"/>
          <w:szCs w:val="28"/>
        </w:rPr>
        <w:t>2</w:t>
      </w:r>
      <w:r>
        <w:rPr>
          <w:rFonts w:hint="eastAsia" w:ascii="仿宋_GB2312" w:hAnsi="微软雅黑" w:eastAsia="仿宋_GB2312" w:cs="仿宋_GB2312"/>
          <w:sz w:val="28"/>
          <w:szCs w:val="28"/>
        </w:rPr>
        <w:t>、总主编、主编、主译及参编专著：</w:t>
      </w:r>
    </w:p>
    <w:p>
      <w:pPr>
        <w:spacing w:line="660" w:lineRule="exact"/>
        <w:jc w:val="left"/>
        <w:rPr>
          <w:rFonts w:ascii="仿宋_GB2312" w:hAnsi="微软雅黑" w:eastAsia="仿宋_GB2312" w:cs="Times New Roman"/>
          <w:sz w:val="28"/>
          <w:szCs w:val="28"/>
        </w:rPr>
      </w:pPr>
      <w:r>
        <w:rPr>
          <w:rFonts w:ascii="仿宋_GB2312" w:hAnsi="微软雅黑" w:eastAsia="仿宋_GB2312" w:cs="仿宋_GB2312"/>
          <w:sz w:val="28"/>
          <w:szCs w:val="28"/>
        </w:rPr>
        <w:t xml:space="preserve"> </w:t>
      </w:r>
      <w:r>
        <w:rPr>
          <w:rFonts w:hint="eastAsia" w:ascii="仿宋_GB2312" w:hAnsi="微软雅黑" w:eastAsia="仿宋_GB2312" w:cs="仿宋_GB2312"/>
          <w:sz w:val="28"/>
          <w:szCs w:val="28"/>
        </w:rPr>
        <w:t>主编、参编3部：</w:t>
      </w:r>
    </w:p>
    <w:p>
      <w:pPr>
        <w:numPr>
          <w:ilvl w:val="0"/>
          <w:numId w:val="1"/>
        </w:numPr>
        <w:spacing w:line="660" w:lineRule="exact"/>
        <w:jc w:val="left"/>
        <w:rPr>
          <w:rFonts w:ascii="仿宋_GB2312" w:hAnsi="微软雅黑" w:eastAsia="仿宋_GB2312" w:cs="Times New Roman"/>
          <w:sz w:val="28"/>
          <w:szCs w:val="28"/>
        </w:rPr>
      </w:pPr>
      <w:r>
        <w:rPr>
          <w:rFonts w:hint="eastAsia" w:ascii="仿宋_GB2312" w:hAnsi="微软雅黑" w:eastAsia="仿宋_GB2312" w:cs="仿宋_GB2312"/>
          <w:sz w:val="28"/>
          <w:szCs w:val="28"/>
        </w:rPr>
        <w:t>《高脂血症合理治疗答疑》</w:t>
      </w:r>
      <w:r>
        <w:rPr>
          <w:rFonts w:ascii="仿宋_GB2312" w:hAnsi="微软雅黑" w:eastAsia="仿宋_GB2312" w:cs="仿宋_GB2312"/>
          <w:sz w:val="28"/>
          <w:szCs w:val="28"/>
        </w:rPr>
        <w:t xml:space="preserve">  201</w:t>
      </w:r>
      <w:r>
        <w:rPr>
          <w:rFonts w:hint="eastAsia" w:ascii="仿宋_GB2312" w:hAnsi="微软雅黑" w:eastAsia="仿宋_GB2312" w:cs="仿宋_GB2312"/>
          <w:sz w:val="28"/>
          <w:szCs w:val="28"/>
        </w:rPr>
        <w:t>8</w:t>
      </w:r>
      <w:r>
        <w:rPr>
          <w:rFonts w:ascii="仿宋_GB2312" w:hAnsi="微软雅黑" w:eastAsia="仿宋_GB2312" w:cs="仿宋_GB2312"/>
          <w:sz w:val="28"/>
          <w:szCs w:val="28"/>
        </w:rPr>
        <w:t xml:space="preserve"> </w:t>
      </w:r>
      <w:r>
        <w:rPr>
          <w:rFonts w:hint="eastAsia" w:ascii="仿宋_GB2312" w:hAnsi="微软雅黑" w:eastAsia="仿宋_GB2312" w:cs="仿宋_GB2312"/>
          <w:sz w:val="28"/>
          <w:szCs w:val="28"/>
        </w:rPr>
        <w:t>世界图书出版社</w:t>
      </w:r>
      <w:r>
        <w:rPr>
          <w:rFonts w:ascii="仿宋_GB2312" w:hAnsi="微软雅黑" w:eastAsia="仿宋_GB2312" w:cs="仿宋_GB2312"/>
          <w:sz w:val="28"/>
          <w:szCs w:val="28"/>
        </w:rPr>
        <w:t xml:space="preserve"> </w:t>
      </w:r>
      <w:r>
        <w:rPr>
          <w:rFonts w:hint="eastAsia" w:ascii="仿宋_GB2312" w:hAnsi="微软雅黑" w:eastAsia="仿宋_GB2312" w:cs="仿宋_GB2312"/>
          <w:sz w:val="28"/>
          <w:szCs w:val="28"/>
        </w:rPr>
        <w:t>（参编）</w:t>
      </w:r>
    </w:p>
    <w:p>
      <w:pPr>
        <w:numPr>
          <w:ilvl w:val="0"/>
          <w:numId w:val="1"/>
        </w:numPr>
        <w:spacing w:line="660" w:lineRule="exact"/>
        <w:jc w:val="left"/>
        <w:rPr>
          <w:rFonts w:ascii="仿宋_GB2312" w:hAnsi="微软雅黑" w:eastAsia="仿宋_GB2312" w:cs="仿宋_GB2312"/>
          <w:sz w:val="28"/>
          <w:szCs w:val="28"/>
        </w:rPr>
      </w:pPr>
      <w:r>
        <w:rPr>
          <w:rFonts w:hint="eastAsia" w:ascii="仿宋_GB2312" w:hAnsi="微软雅黑" w:eastAsia="仿宋_GB2312" w:cs="仿宋_GB2312"/>
          <w:sz w:val="28"/>
          <w:szCs w:val="28"/>
        </w:rPr>
        <w:t>《神经病学分册》临床技能与临床思维系列丛书</w:t>
      </w:r>
      <w:r>
        <w:rPr>
          <w:rFonts w:ascii="仿宋_GB2312" w:hAnsi="微软雅黑" w:eastAsia="仿宋_GB2312" w:cs="仿宋_GB2312"/>
          <w:sz w:val="28"/>
          <w:szCs w:val="28"/>
        </w:rPr>
        <w:t xml:space="preserve">   201</w:t>
      </w:r>
      <w:r>
        <w:rPr>
          <w:rFonts w:hint="eastAsia" w:ascii="仿宋_GB2312" w:hAnsi="微软雅黑" w:eastAsia="仿宋_GB2312" w:cs="仿宋_GB2312"/>
          <w:sz w:val="28"/>
          <w:szCs w:val="28"/>
        </w:rPr>
        <w:t>9</w:t>
      </w:r>
      <w:r>
        <w:rPr>
          <w:rFonts w:ascii="仿宋_GB2312" w:hAnsi="微软雅黑" w:eastAsia="仿宋_GB2312" w:cs="仿宋_GB2312"/>
          <w:sz w:val="28"/>
          <w:szCs w:val="28"/>
        </w:rPr>
        <w:t xml:space="preserve"> </w:t>
      </w:r>
      <w:r>
        <w:rPr>
          <w:rFonts w:hint="eastAsia" w:ascii="仿宋_GB2312" w:hAnsi="微软雅黑" w:eastAsia="仿宋_GB2312" w:cs="仿宋_GB2312"/>
          <w:sz w:val="28"/>
          <w:szCs w:val="28"/>
        </w:rPr>
        <w:t>人民卫生出版社</w:t>
      </w:r>
      <w:r>
        <w:rPr>
          <w:rFonts w:ascii="仿宋_GB2312" w:hAnsi="微软雅黑" w:eastAsia="仿宋_GB2312" w:cs="仿宋_GB2312"/>
          <w:sz w:val="28"/>
          <w:szCs w:val="28"/>
        </w:rPr>
        <w:t xml:space="preserve">  </w:t>
      </w:r>
      <w:r>
        <w:rPr>
          <w:rFonts w:hint="eastAsia" w:ascii="仿宋_GB2312" w:hAnsi="微软雅黑" w:eastAsia="仿宋_GB2312" w:cs="仿宋_GB2312"/>
          <w:sz w:val="28"/>
          <w:szCs w:val="28"/>
        </w:rPr>
        <w:t>（参编）</w:t>
      </w:r>
    </w:p>
    <w:p>
      <w:pPr>
        <w:numPr>
          <w:ilvl w:val="0"/>
          <w:numId w:val="1"/>
        </w:numPr>
        <w:spacing w:line="660" w:lineRule="exact"/>
        <w:jc w:val="left"/>
        <w:rPr>
          <w:rFonts w:ascii="仿宋_GB2312" w:hAnsi="微软雅黑" w:eastAsia="仿宋_GB2312" w:cs="仿宋_GB2312"/>
          <w:sz w:val="28"/>
          <w:szCs w:val="28"/>
        </w:rPr>
      </w:pPr>
      <w:r>
        <w:rPr>
          <w:rFonts w:hint="eastAsia" w:ascii="仿宋_GB2312" w:hAnsi="微软雅黑" w:eastAsia="仿宋_GB2312" w:cs="仿宋_GB2312"/>
          <w:sz w:val="28"/>
          <w:szCs w:val="28"/>
        </w:rPr>
        <w:t>《急性缺血性脑卒中病例解析》   2019年</w:t>
      </w:r>
      <w:r>
        <w:rPr>
          <w:rFonts w:ascii="仿宋_GB2312" w:hAnsi="微软雅黑" w:eastAsia="仿宋_GB2312" w:cs="仿宋_GB2312"/>
          <w:sz w:val="28"/>
          <w:szCs w:val="28"/>
        </w:rPr>
        <w:t xml:space="preserve"> </w:t>
      </w:r>
      <w:r>
        <w:rPr>
          <w:rFonts w:hint="eastAsia" w:ascii="仿宋_GB2312" w:hAnsi="微软雅黑" w:eastAsia="仿宋_GB2312" w:cs="仿宋_GB2312"/>
          <w:sz w:val="28"/>
          <w:szCs w:val="28"/>
        </w:rPr>
        <w:t>电子工业出版社</w:t>
      </w:r>
    </w:p>
    <w:p>
      <w:pPr>
        <w:spacing w:line="660" w:lineRule="exact"/>
        <w:ind w:firstLine="5880" w:firstLineChars="2100"/>
        <w:jc w:val="left"/>
        <w:rPr>
          <w:rFonts w:ascii="仿宋_GB2312" w:hAnsi="微软雅黑" w:eastAsia="仿宋_GB2312" w:cs="Times New Roman"/>
          <w:sz w:val="28"/>
          <w:szCs w:val="28"/>
        </w:rPr>
      </w:pPr>
      <w:r>
        <w:rPr>
          <w:rFonts w:hint="eastAsia" w:ascii="仿宋_GB2312" w:hAnsi="微软雅黑" w:eastAsia="仿宋_GB2312" w:cs="仿宋_GB2312"/>
          <w:sz w:val="28"/>
          <w:szCs w:val="28"/>
        </w:rPr>
        <w:t>（副主编）</w:t>
      </w:r>
    </w:p>
    <w:p>
      <w:pPr>
        <w:spacing w:line="660" w:lineRule="exact"/>
        <w:jc w:val="left"/>
        <w:rPr>
          <w:rFonts w:ascii="仿宋_GB2312" w:hAnsi="微软雅黑" w:eastAsia="仿宋_GB2312" w:cs="Times New Roman"/>
          <w:b/>
          <w:bCs/>
          <w:sz w:val="28"/>
          <w:szCs w:val="28"/>
        </w:rPr>
      </w:pPr>
      <w:r>
        <w:rPr>
          <w:rFonts w:hint="eastAsia" w:ascii="仿宋_GB2312" w:hAnsi="微软雅黑" w:eastAsia="仿宋_GB2312" w:cs="仿宋_GB2312"/>
          <w:b/>
          <w:bCs/>
          <w:sz w:val="28"/>
          <w:szCs w:val="28"/>
        </w:rPr>
        <w:t>四、获得的学术成果奖励（标注名次）</w:t>
      </w:r>
    </w:p>
    <w:p>
      <w:pPr>
        <w:spacing w:line="660" w:lineRule="exact"/>
        <w:jc w:val="left"/>
        <w:rPr>
          <w:rFonts w:ascii="仿宋_GB2312" w:hAnsi="微软雅黑" w:eastAsia="仿宋_GB2312" w:cs="仿宋_GB2312"/>
          <w:sz w:val="28"/>
          <w:szCs w:val="28"/>
        </w:rPr>
      </w:pPr>
      <w:r>
        <w:rPr>
          <w:rFonts w:hint="eastAsia" w:ascii="仿宋_GB2312" w:hAnsi="微软雅黑" w:eastAsia="仿宋_GB2312" w:cs="仿宋_GB2312"/>
          <w:sz w:val="28"/>
          <w:szCs w:val="28"/>
        </w:rPr>
        <w:t>无</w:t>
      </w:r>
    </w:p>
    <w:p>
      <w:pPr>
        <w:spacing w:line="660" w:lineRule="exact"/>
        <w:jc w:val="left"/>
        <w:rPr>
          <w:rFonts w:ascii="仿宋_GB2312" w:hAnsi="微软雅黑" w:eastAsia="仿宋_GB2312" w:cs="Times New Roman"/>
          <w:b/>
          <w:bCs/>
          <w:sz w:val="28"/>
          <w:szCs w:val="28"/>
        </w:rPr>
      </w:pPr>
      <w:r>
        <w:rPr>
          <w:rFonts w:hint="eastAsia" w:ascii="仿宋_GB2312" w:hAnsi="微软雅黑" w:eastAsia="仿宋_GB2312" w:cs="仿宋_GB2312"/>
          <w:b/>
          <w:bCs/>
          <w:sz w:val="28"/>
          <w:szCs w:val="28"/>
        </w:rPr>
        <w:t>五、获得的发明专利（标注名次）</w:t>
      </w:r>
    </w:p>
    <w:p>
      <w:pPr>
        <w:spacing w:line="660" w:lineRule="exact"/>
        <w:jc w:val="left"/>
        <w:rPr>
          <w:rFonts w:ascii="仿宋_GB2312" w:eastAsia="仿宋_GB2312" w:cs="仿宋_GB2312"/>
          <w:sz w:val="28"/>
          <w:szCs w:val="28"/>
        </w:rPr>
      </w:pPr>
      <w:r>
        <w:rPr>
          <w:rFonts w:hint="eastAsia" w:ascii="仿宋_GB2312" w:eastAsia="仿宋_GB2312" w:cs="仿宋_GB2312"/>
          <w:sz w:val="28"/>
          <w:szCs w:val="28"/>
        </w:rPr>
        <w:t xml:space="preserve"> 无</w:t>
      </w:r>
    </w:p>
    <w:p>
      <w:pPr>
        <w:spacing w:line="660" w:lineRule="exact"/>
        <w:jc w:val="left"/>
        <w:rPr>
          <w:rFonts w:ascii="仿宋_GB2312" w:hAnsi="微软雅黑" w:eastAsia="仿宋_GB2312" w:cs="Times New Roman"/>
          <w:b/>
          <w:bCs/>
          <w:sz w:val="28"/>
          <w:szCs w:val="28"/>
        </w:rPr>
      </w:pPr>
      <w:r>
        <w:rPr>
          <w:rFonts w:hint="eastAsia" w:ascii="仿宋_GB2312" w:hAnsi="微软雅黑" w:eastAsia="仿宋_GB2312" w:cs="仿宋_GB2312"/>
          <w:b/>
          <w:bCs/>
          <w:sz w:val="28"/>
          <w:szCs w:val="28"/>
        </w:rPr>
        <w:t>六</w:t>
      </w:r>
      <w:r>
        <w:rPr>
          <w:rFonts w:ascii="仿宋_GB2312" w:hAnsi="微软雅黑" w:eastAsia="仿宋_GB2312" w:cs="仿宋_GB2312"/>
          <w:b/>
          <w:bCs/>
          <w:sz w:val="28"/>
          <w:szCs w:val="28"/>
        </w:rPr>
        <w:t>.</w:t>
      </w:r>
      <w:r>
        <w:rPr>
          <w:rFonts w:hint="eastAsia" w:ascii="仿宋_GB2312" w:hAnsi="微软雅黑" w:eastAsia="仿宋_GB2312" w:cs="仿宋_GB2312"/>
          <w:b/>
          <w:bCs/>
          <w:sz w:val="28"/>
          <w:szCs w:val="28"/>
        </w:rPr>
        <w:t>主持过的科研项目（项目名称；项目编号；级别；经费；起止日期）</w:t>
      </w:r>
    </w:p>
    <w:p>
      <w:pPr>
        <w:spacing w:line="660" w:lineRule="exact"/>
        <w:jc w:val="left"/>
        <w:rPr>
          <w:rFonts w:ascii="楷体" w:hAnsi="楷体" w:eastAsia="楷体" w:cs="楷体"/>
          <w:sz w:val="28"/>
          <w:szCs w:val="28"/>
        </w:rPr>
      </w:pPr>
      <w:r>
        <w:rPr>
          <w:rFonts w:hint="eastAsia" w:ascii="楷体" w:hAnsi="楷体" w:eastAsia="楷体" w:cs="楷体"/>
          <w:sz w:val="28"/>
          <w:szCs w:val="28"/>
        </w:rPr>
        <w:t>1）、2014年海南省卫生厅项目：不同强度降脂治疗方案对急性缺血性脑卒中患者颈动脉斑块及临床预后的影响，已结题；</w:t>
      </w:r>
    </w:p>
    <w:p>
      <w:pPr>
        <w:spacing w:line="660" w:lineRule="exact"/>
        <w:jc w:val="left"/>
        <w:rPr>
          <w:rFonts w:ascii="楷体" w:hAnsi="楷体" w:eastAsia="楷体" w:cs="楷体"/>
          <w:sz w:val="28"/>
          <w:szCs w:val="28"/>
        </w:rPr>
      </w:pPr>
      <w:r>
        <w:rPr>
          <w:rFonts w:hint="eastAsia" w:ascii="楷体" w:hAnsi="楷体" w:eastAsia="楷体" w:cs="楷体"/>
          <w:sz w:val="28"/>
          <w:szCs w:val="28"/>
        </w:rPr>
        <w:t>2）2017年海南省教育厅项目：改进院内脑卒中绿色通道对促进急诊溶栓和介入治疗的效益研究，Hnky2017-37，1.5万，2017.12-2020.12。</w:t>
      </w:r>
    </w:p>
    <w:p>
      <w:pPr>
        <w:tabs>
          <w:tab w:val="left" w:pos="720"/>
        </w:tabs>
        <w:spacing w:line="440" w:lineRule="exact"/>
        <w:rPr>
          <w:rFonts w:hint="eastAsia" w:ascii="楷体" w:hAnsi="楷体" w:eastAsia="楷体" w:cs="宋体"/>
          <w:sz w:val="28"/>
          <w:szCs w:val="28"/>
        </w:rPr>
      </w:pPr>
      <w:r>
        <w:rPr>
          <w:rFonts w:ascii="楷体" w:hAnsi="楷体" w:eastAsia="楷体" w:cs="宋体"/>
          <w:sz w:val="28"/>
          <w:szCs w:val="28"/>
        </w:rPr>
        <w:t>3)</w:t>
      </w:r>
      <w:r>
        <w:rPr>
          <w:rFonts w:hint="eastAsia" w:ascii="楷体" w:hAnsi="楷体" w:eastAsia="楷体" w:cs="宋体"/>
          <w:sz w:val="28"/>
          <w:szCs w:val="28"/>
        </w:rPr>
        <w:t>2018年主持省级继续教育项目：急性脑梗死的诊治新进展。</w:t>
      </w:r>
    </w:p>
    <w:p>
      <w:pPr>
        <w:tabs>
          <w:tab w:val="left" w:pos="720"/>
        </w:tabs>
        <w:spacing w:line="440" w:lineRule="exact"/>
        <w:rPr>
          <w:rFonts w:hint="eastAsia" w:ascii="楷体" w:hAnsi="楷体" w:eastAsia="楷体" w:cs="宋体"/>
          <w:sz w:val="28"/>
          <w:szCs w:val="28"/>
        </w:rPr>
      </w:pPr>
      <w:r>
        <w:rPr>
          <w:rFonts w:ascii="楷体" w:hAnsi="楷体" w:eastAsia="楷体" w:cs="宋体"/>
          <w:sz w:val="28"/>
          <w:szCs w:val="28"/>
        </w:rPr>
        <w:t>4</w:t>
      </w:r>
      <w:r>
        <w:rPr>
          <w:rFonts w:hint="eastAsia" w:ascii="楷体" w:hAnsi="楷体" w:eastAsia="楷体" w:cs="宋体"/>
          <w:sz w:val="28"/>
          <w:szCs w:val="28"/>
        </w:rPr>
        <w:t>）2020年海南省卫生厅项目：静脉溶栓联合替罗非班治疗急性缺血性脑梗死的有效性及安全性研究。</w:t>
      </w:r>
    </w:p>
    <w:p>
      <w:pPr>
        <w:tabs>
          <w:tab w:val="left" w:pos="720"/>
        </w:tabs>
        <w:spacing w:line="440" w:lineRule="exact"/>
        <w:rPr>
          <w:rFonts w:hint="eastAsia" w:ascii="楷体" w:hAnsi="楷体" w:eastAsia="楷体" w:cs="宋体"/>
          <w:sz w:val="28"/>
          <w:szCs w:val="28"/>
        </w:rPr>
      </w:pPr>
      <w:r>
        <w:rPr>
          <w:rFonts w:ascii="楷体" w:hAnsi="楷体" w:eastAsia="楷体" w:cs="宋体"/>
          <w:sz w:val="28"/>
          <w:szCs w:val="28"/>
        </w:rPr>
        <w:t>5</w:t>
      </w:r>
      <w:r>
        <w:rPr>
          <w:rFonts w:hint="eastAsia" w:ascii="楷体" w:hAnsi="楷体" w:eastAsia="楷体" w:cs="宋体"/>
          <w:sz w:val="28"/>
          <w:szCs w:val="28"/>
        </w:rPr>
        <w:t>）2020国家自然科学基金项目：RNA甲基化酶介导的Lnc SNHG12 m6A修饰在缺血性脑卒中的作用及机制研究。</w:t>
      </w:r>
    </w:p>
    <w:p>
      <w:pPr>
        <w:tabs>
          <w:tab w:val="left" w:pos="720"/>
        </w:tabs>
        <w:spacing w:line="440" w:lineRule="exact"/>
        <w:rPr>
          <w:rFonts w:hint="eastAsia" w:ascii="楷体" w:hAnsi="楷体" w:eastAsia="楷体" w:cs="宋体"/>
          <w:sz w:val="28"/>
          <w:szCs w:val="28"/>
        </w:rPr>
      </w:pPr>
      <w:r>
        <w:rPr>
          <w:rFonts w:ascii="楷体" w:hAnsi="楷体" w:eastAsia="楷体" w:cs="宋体"/>
          <w:sz w:val="28"/>
          <w:szCs w:val="28"/>
        </w:rPr>
        <w:t>6</w:t>
      </w:r>
      <w:r>
        <w:rPr>
          <w:rFonts w:hint="eastAsia" w:ascii="楷体" w:hAnsi="楷体" w:eastAsia="楷体" w:cs="宋体"/>
          <w:sz w:val="28"/>
          <w:szCs w:val="28"/>
        </w:rPr>
        <w:t>）2020年教育厅课题项目：以临床思维能力为导向的神经内科临床实践教学研究。</w:t>
      </w:r>
    </w:p>
    <w:p>
      <w:pPr>
        <w:spacing w:line="660" w:lineRule="exact"/>
        <w:jc w:val="left"/>
        <w:rPr>
          <w:rFonts w:ascii="仿宋_GB2312" w:hAnsi="微软雅黑" w:eastAsia="仿宋_GB2312" w:cs="Times New Roman"/>
          <w:b/>
          <w:bCs/>
          <w:sz w:val="28"/>
          <w:szCs w:val="28"/>
        </w:rPr>
      </w:pPr>
      <w:r>
        <w:rPr>
          <w:rFonts w:hint="eastAsia" w:ascii="仿宋_GB2312" w:hAnsi="微软雅黑" w:eastAsia="仿宋_GB2312" w:cs="仿宋_GB2312"/>
          <w:b/>
          <w:bCs/>
          <w:sz w:val="28"/>
          <w:szCs w:val="28"/>
        </w:rPr>
        <w:t>七、获得学术荣誉</w:t>
      </w:r>
    </w:p>
    <w:p>
      <w:pPr>
        <w:rPr>
          <w:rFonts w:ascii="仿宋_GB2312" w:hAnsi="微软雅黑" w:eastAsia="仿宋_GB2312" w:cs="仿宋_GB2312"/>
          <w:sz w:val="28"/>
          <w:szCs w:val="28"/>
        </w:rPr>
      </w:pPr>
      <w:r>
        <w:rPr>
          <w:rFonts w:hint="eastAsia" w:ascii="仿宋_GB2312" w:hAnsi="微软雅黑" w:eastAsia="仿宋_GB2312" w:cs="仿宋_GB2312"/>
          <w:sz w:val="28"/>
          <w:szCs w:val="28"/>
        </w:rPr>
        <w:t>2018年获“优秀责任导师”称号</w:t>
      </w:r>
    </w:p>
    <w:p>
      <w:pPr>
        <w:rPr>
          <w:rFonts w:ascii="仿宋_GB2312" w:hAnsi="微软雅黑" w:eastAsia="仿宋_GB2312" w:cs="Times New Roman"/>
          <w:b/>
          <w:bCs/>
          <w:sz w:val="28"/>
          <w:szCs w:val="28"/>
        </w:rPr>
      </w:pPr>
      <w:r>
        <w:rPr>
          <w:rFonts w:hint="eastAsia" w:ascii="仿宋_GB2312" w:hAnsi="微软雅黑" w:eastAsia="仿宋_GB2312" w:cs="仿宋_GB2312"/>
          <w:b/>
          <w:bCs/>
          <w:sz w:val="28"/>
          <w:szCs w:val="28"/>
        </w:rPr>
        <w:t>八、学术兼职</w:t>
      </w:r>
    </w:p>
    <w:p>
      <w:pPr>
        <w:rPr>
          <w:rFonts w:ascii="楷体" w:hAnsi="楷体" w:eastAsia="楷体" w:cs="楷体"/>
          <w:sz w:val="28"/>
          <w:szCs w:val="28"/>
        </w:rPr>
      </w:pPr>
      <w:r>
        <w:rPr>
          <w:rFonts w:hint="eastAsia" w:ascii="楷体" w:hAnsi="楷体" w:eastAsia="楷体" w:cs="楷体"/>
          <w:sz w:val="28"/>
          <w:szCs w:val="28"/>
        </w:rPr>
        <w:t xml:space="preserve">中国医师协会神经介入专业委员会缺血性脑血管病专业委员会 </w:t>
      </w:r>
    </w:p>
    <w:p>
      <w:pPr>
        <w:rPr>
          <w:rFonts w:ascii="楷体" w:hAnsi="楷体" w:eastAsia="楷体" w:cs="楷体"/>
          <w:sz w:val="28"/>
          <w:szCs w:val="28"/>
        </w:rPr>
      </w:pPr>
      <w:r>
        <w:rPr>
          <w:rFonts w:hint="eastAsia" w:ascii="楷体" w:hAnsi="楷体" w:eastAsia="楷体" w:cs="楷体"/>
          <w:sz w:val="28"/>
          <w:szCs w:val="28"/>
        </w:rPr>
        <w:t xml:space="preserve">                </w:t>
      </w:r>
      <w:r>
        <w:rPr>
          <w:rFonts w:ascii="楷体" w:hAnsi="楷体" w:eastAsia="楷体" w:cs="楷体"/>
          <w:sz w:val="28"/>
          <w:szCs w:val="28"/>
        </w:rPr>
        <w:t xml:space="preserve">                                </w:t>
      </w:r>
      <w:r>
        <w:rPr>
          <w:rFonts w:hint="eastAsia" w:ascii="楷体" w:hAnsi="楷体" w:eastAsia="楷体" w:cs="楷体"/>
          <w:sz w:val="28"/>
          <w:szCs w:val="28"/>
        </w:rPr>
        <w:t>委员（国家级）</w:t>
      </w:r>
    </w:p>
    <w:p>
      <w:pPr>
        <w:rPr>
          <w:rFonts w:ascii="楷体" w:hAnsi="楷体" w:eastAsia="楷体" w:cs="楷体"/>
          <w:sz w:val="28"/>
          <w:szCs w:val="28"/>
        </w:rPr>
      </w:pPr>
      <w:r>
        <w:rPr>
          <w:rFonts w:hint="eastAsia" w:ascii="楷体" w:hAnsi="楷体" w:eastAsia="楷体" w:cs="楷体"/>
          <w:sz w:val="28"/>
          <w:szCs w:val="28"/>
        </w:rPr>
        <w:t>海南省医师协会神经介入专业委员会                常委（省级）</w:t>
      </w:r>
    </w:p>
    <w:p>
      <w:pPr>
        <w:rPr>
          <w:rFonts w:ascii="楷体" w:hAnsi="楷体" w:eastAsia="楷体" w:cs="楷体"/>
          <w:sz w:val="28"/>
          <w:szCs w:val="28"/>
        </w:rPr>
      </w:pPr>
      <w:r>
        <w:rPr>
          <w:rFonts w:hint="eastAsia" w:ascii="楷体" w:hAnsi="楷体" w:eastAsia="楷体" w:cs="楷体"/>
          <w:sz w:val="28"/>
          <w:szCs w:val="28"/>
        </w:rPr>
        <w:t>海南省医学会神经内科专业委员会                  常委（省级）</w:t>
      </w:r>
    </w:p>
    <w:p>
      <w:pPr>
        <w:rPr>
          <w:rFonts w:hint="eastAsia" w:ascii="楷体" w:hAnsi="楷体" w:eastAsia="楷体" w:cs="楷体"/>
          <w:sz w:val="28"/>
          <w:szCs w:val="28"/>
        </w:rPr>
      </w:pPr>
      <w:r>
        <w:rPr>
          <w:rFonts w:hint="eastAsia" w:ascii="楷体" w:hAnsi="楷体" w:eastAsia="楷体" w:cs="楷体"/>
          <w:sz w:val="28"/>
          <w:szCs w:val="28"/>
        </w:rPr>
        <w:t>海南省中西医结合学会神经病学专业委员会          副主委（省级）</w:t>
      </w:r>
    </w:p>
    <w:p>
      <w:pPr>
        <w:numPr>
          <w:ilvl w:val="0"/>
          <w:numId w:val="2"/>
        </w:numPr>
        <w:rPr>
          <w:rFonts w:hint="eastAsia" w:ascii="仿宋_GB2312" w:hAnsi="微软雅黑" w:eastAsia="仿宋_GB2312" w:cs="仿宋_GB2312"/>
          <w:b/>
          <w:bCs/>
          <w:sz w:val="28"/>
          <w:szCs w:val="28"/>
          <w:lang w:eastAsia="zh-CN"/>
        </w:rPr>
      </w:pPr>
      <w:r>
        <w:rPr>
          <w:rFonts w:hint="eastAsia" w:ascii="仿宋_GB2312" w:hAnsi="微软雅黑" w:eastAsia="仿宋_GB2312" w:cs="仿宋_GB2312"/>
          <w:b/>
          <w:bCs/>
          <w:sz w:val="28"/>
          <w:szCs w:val="28"/>
          <w:lang w:eastAsia="zh-CN"/>
        </w:rPr>
        <w:t>联系方式</w:t>
      </w:r>
    </w:p>
    <w:p>
      <w:pPr>
        <w:numPr>
          <w:numId w:val="0"/>
        </w:numPr>
        <w:rPr>
          <w:rFonts w:hint="eastAsia" w:ascii="仿宋_GB2312" w:hAnsi="微软雅黑" w:eastAsia="仿宋_GB2312" w:cs="仿宋_GB2312"/>
          <w:b/>
          <w:bCs/>
          <w:sz w:val="28"/>
          <w:szCs w:val="28"/>
          <w:lang w:eastAsia="zh-CN"/>
        </w:rPr>
      </w:pPr>
      <w:r>
        <w:rPr>
          <w:rFonts w:ascii="Segoe UI" w:hAnsi="Segoe UI" w:eastAsia="Segoe UI" w:cs="Segoe UI"/>
          <w:i w:val="0"/>
          <w:iCs w:val="0"/>
          <w:caps w:val="0"/>
          <w:color w:val="212121"/>
          <w:spacing w:val="0"/>
          <w:sz w:val="24"/>
          <w:szCs w:val="24"/>
          <w:shd w:val="clear" w:fill="FFFFFF"/>
        </w:rPr>
        <w:t>qingfalong@sina.com</w:t>
      </w:r>
    </w:p>
    <w:p>
      <w:pPr>
        <w:numPr>
          <w:ilvl w:val="0"/>
          <w:numId w:val="0"/>
        </w:numPr>
        <w:rPr>
          <w:rFonts w:hint="eastAsia" w:ascii="仿宋_GB2312" w:hAnsi="微软雅黑" w:eastAsia="仿宋_GB2312" w:cs="仿宋_GB2312"/>
          <w:b/>
          <w:bCs/>
          <w:sz w:val="28"/>
          <w:szCs w:val="28"/>
          <w:lang w:eastAsia="zh-CN"/>
        </w:rPr>
      </w:pPr>
      <w:bookmarkStart w:id="0" w:name="_GoBack"/>
      <w:bookmarkEnd w:id="0"/>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FEAFE"/>
    <w:multiLevelType w:val="singleLevel"/>
    <w:tmpl w:val="EC2FEAFE"/>
    <w:lvl w:ilvl="0" w:tentative="0">
      <w:start w:val="1"/>
      <w:numFmt w:val="decimal"/>
      <w:suff w:val="space"/>
      <w:lvlText w:val="（%1）"/>
      <w:lvlJc w:val="left"/>
    </w:lvl>
  </w:abstractNum>
  <w:abstractNum w:abstractNumId="1">
    <w:nsid w:val="0D3AFE82"/>
    <w:multiLevelType w:val="singleLevel"/>
    <w:tmpl w:val="0D3AFE82"/>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6619B"/>
    <w:rsid w:val="00001935"/>
    <w:rsid w:val="000201F2"/>
    <w:rsid w:val="000221E0"/>
    <w:rsid w:val="0002414D"/>
    <w:rsid w:val="00035889"/>
    <w:rsid w:val="00046C4C"/>
    <w:rsid w:val="00086389"/>
    <w:rsid w:val="000A1B0C"/>
    <w:rsid w:val="000A4C40"/>
    <w:rsid w:val="000A7730"/>
    <w:rsid w:val="000B0B2E"/>
    <w:rsid w:val="000F7198"/>
    <w:rsid w:val="00107CD7"/>
    <w:rsid w:val="00123D8B"/>
    <w:rsid w:val="001318EE"/>
    <w:rsid w:val="00142569"/>
    <w:rsid w:val="0015233B"/>
    <w:rsid w:val="001B059D"/>
    <w:rsid w:val="001B1CE9"/>
    <w:rsid w:val="001F3947"/>
    <w:rsid w:val="00207CAC"/>
    <w:rsid w:val="00226DC7"/>
    <w:rsid w:val="00252782"/>
    <w:rsid w:val="002540B4"/>
    <w:rsid w:val="00265BC8"/>
    <w:rsid w:val="00266B6C"/>
    <w:rsid w:val="002C4D96"/>
    <w:rsid w:val="002C7AA4"/>
    <w:rsid w:val="002D2DC1"/>
    <w:rsid w:val="002E0244"/>
    <w:rsid w:val="002E5E7E"/>
    <w:rsid w:val="00304AD4"/>
    <w:rsid w:val="00305D75"/>
    <w:rsid w:val="00307723"/>
    <w:rsid w:val="0032358E"/>
    <w:rsid w:val="00340FCD"/>
    <w:rsid w:val="00347362"/>
    <w:rsid w:val="003553D6"/>
    <w:rsid w:val="00363D62"/>
    <w:rsid w:val="00380C55"/>
    <w:rsid w:val="00381879"/>
    <w:rsid w:val="003C4E7B"/>
    <w:rsid w:val="003D4EB8"/>
    <w:rsid w:val="003D77C2"/>
    <w:rsid w:val="003E3F8F"/>
    <w:rsid w:val="004218F4"/>
    <w:rsid w:val="00430A03"/>
    <w:rsid w:val="00450A44"/>
    <w:rsid w:val="00481BB0"/>
    <w:rsid w:val="004927AA"/>
    <w:rsid w:val="004B1F27"/>
    <w:rsid w:val="004B2838"/>
    <w:rsid w:val="004E159E"/>
    <w:rsid w:val="004F1E61"/>
    <w:rsid w:val="005201DA"/>
    <w:rsid w:val="005226A0"/>
    <w:rsid w:val="00550804"/>
    <w:rsid w:val="00550D22"/>
    <w:rsid w:val="005844C6"/>
    <w:rsid w:val="005845A8"/>
    <w:rsid w:val="0059202A"/>
    <w:rsid w:val="005B6ECD"/>
    <w:rsid w:val="005D33E2"/>
    <w:rsid w:val="005E420B"/>
    <w:rsid w:val="005E49FF"/>
    <w:rsid w:val="005F7B5A"/>
    <w:rsid w:val="00634F90"/>
    <w:rsid w:val="006503BF"/>
    <w:rsid w:val="0066469D"/>
    <w:rsid w:val="006A4EFD"/>
    <w:rsid w:val="006E03B3"/>
    <w:rsid w:val="006E68F9"/>
    <w:rsid w:val="006F278F"/>
    <w:rsid w:val="006F4BD3"/>
    <w:rsid w:val="006F776B"/>
    <w:rsid w:val="00703FA2"/>
    <w:rsid w:val="00707F11"/>
    <w:rsid w:val="00767DCC"/>
    <w:rsid w:val="007700CA"/>
    <w:rsid w:val="0077504F"/>
    <w:rsid w:val="00795F2C"/>
    <w:rsid w:val="007A422F"/>
    <w:rsid w:val="007A75B6"/>
    <w:rsid w:val="007C487F"/>
    <w:rsid w:val="007D7294"/>
    <w:rsid w:val="008022B3"/>
    <w:rsid w:val="008253E4"/>
    <w:rsid w:val="00826BF4"/>
    <w:rsid w:val="00830218"/>
    <w:rsid w:val="00867F5E"/>
    <w:rsid w:val="008A0DC8"/>
    <w:rsid w:val="008B0F45"/>
    <w:rsid w:val="008B43FD"/>
    <w:rsid w:val="008D1A18"/>
    <w:rsid w:val="008E35C6"/>
    <w:rsid w:val="008F665F"/>
    <w:rsid w:val="00926B86"/>
    <w:rsid w:val="009361DC"/>
    <w:rsid w:val="009465CD"/>
    <w:rsid w:val="00982606"/>
    <w:rsid w:val="009A30D2"/>
    <w:rsid w:val="009A4DF8"/>
    <w:rsid w:val="009A5EF5"/>
    <w:rsid w:val="009A7461"/>
    <w:rsid w:val="009D251E"/>
    <w:rsid w:val="009E1A4D"/>
    <w:rsid w:val="009E40E9"/>
    <w:rsid w:val="009E7EB8"/>
    <w:rsid w:val="009F0A17"/>
    <w:rsid w:val="00A024CE"/>
    <w:rsid w:val="00A10B9C"/>
    <w:rsid w:val="00A14764"/>
    <w:rsid w:val="00A15D5A"/>
    <w:rsid w:val="00A273B6"/>
    <w:rsid w:val="00A3398F"/>
    <w:rsid w:val="00A604BB"/>
    <w:rsid w:val="00A97E9F"/>
    <w:rsid w:val="00AA4F7D"/>
    <w:rsid w:val="00AC20C6"/>
    <w:rsid w:val="00B266EA"/>
    <w:rsid w:val="00B27071"/>
    <w:rsid w:val="00B32A6C"/>
    <w:rsid w:val="00B44A13"/>
    <w:rsid w:val="00B72C17"/>
    <w:rsid w:val="00B74E9C"/>
    <w:rsid w:val="00B83BF4"/>
    <w:rsid w:val="00BA1AB4"/>
    <w:rsid w:val="00BC36C0"/>
    <w:rsid w:val="00BC3844"/>
    <w:rsid w:val="00C14F10"/>
    <w:rsid w:val="00C166A9"/>
    <w:rsid w:val="00C3142E"/>
    <w:rsid w:val="00C4390B"/>
    <w:rsid w:val="00C4572C"/>
    <w:rsid w:val="00C51107"/>
    <w:rsid w:val="00C53836"/>
    <w:rsid w:val="00C578D3"/>
    <w:rsid w:val="00C658E3"/>
    <w:rsid w:val="00C67E82"/>
    <w:rsid w:val="00C72BA5"/>
    <w:rsid w:val="00C753EF"/>
    <w:rsid w:val="00C80FE3"/>
    <w:rsid w:val="00C85C03"/>
    <w:rsid w:val="00CC2011"/>
    <w:rsid w:val="00D02123"/>
    <w:rsid w:val="00D11364"/>
    <w:rsid w:val="00D1400D"/>
    <w:rsid w:val="00D266C3"/>
    <w:rsid w:val="00D35A3F"/>
    <w:rsid w:val="00D86661"/>
    <w:rsid w:val="00D92AA2"/>
    <w:rsid w:val="00DB38D7"/>
    <w:rsid w:val="00DC6AAF"/>
    <w:rsid w:val="00DF2D96"/>
    <w:rsid w:val="00E11E6C"/>
    <w:rsid w:val="00E3078B"/>
    <w:rsid w:val="00E45CAB"/>
    <w:rsid w:val="00E939F2"/>
    <w:rsid w:val="00E959A7"/>
    <w:rsid w:val="00EB1293"/>
    <w:rsid w:val="00EB644B"/>
    <w:rsid w:val="00EE4D7D"/>
    <w:rsid w:val="00EF1462"/>
    <w:rsid w:val="00F13489"/>
    <w:rsid w:val="00F14E39"/>
    <w:rsid w:val="00F15DA2"/>
    <w:rsid w:val="00F52777"/>
    <w:rsid w:val="00F53072"/>
    <w:rsid w:val="00F53997"/>
    <w:rsid w:val="00F85D42"/>
    <w:rsid w:val="00F86ED0"/>
    <w:rsid w:val="00F92CE6"/>
    <w:rsid w:val="00F934B5"/>
    <w:rsid w:val="00F95FF7"/>
    <w:rsid w:val="00FA4B85"/>
    <w:rsid w:val="00FD6010"/>
    <w:rsid w:val="00FE2A2A"/>
    <w:rsid w:val="00FE4698"/>
    <w:rsid w:val="00FE6941"/>
    <w:rsid w:val="00FF5FE3"/>
    <w:rsid w:val="0C6A4BC3"/>
    <w:rsid w:val="0E26619B"/>
    <w:rsid w:val="2A1538C7"/>
    <w:rsid w:val="38B305BA"/>
    <w:rsid w:val="396A0649"/>
    <w:rsid w:val="4CB66B41"/>
    <w:rsid w:val="50BC660E"/>
    <w:rsid w:val="6AE67BD2"/>
    <w:rsid w:val="6CBB2281"/>
    <w:rsid w:val="6CCE528F"/>
    <w:rsid w:val="7B73610B"/>
    <w:rsid w:val="7DC874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spacing w:after="120"/>
      <w:ind w:left="420" w:leftChars="200"/>
    </w:pPr>
    <w:rPr>
      <w:rFonts w:ascii="Times New Roman" w:hAnsi="Times New Roman" w:cs="Times New Roman"/>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customStyle="1" w:styleId="10">
    <w:name w:val="页眉 字符"/>
    <w:basedOn w:val="7"/>
    <w:link w:val="4"/>
    <w:qFormat/>
    <w:locked/>
    <w:uiPriority w:val="99"/>
    <w:rPr>
      <w:rFonts w:ascii="Calibri" w:hAnsi="Calibri" w:eastAsia="宋体" w:cs="Calibri"/>
      <w:kern w:val="2"/>
      <w:sz w:val="18"/>
      <w:szCs w:val="18"/>
    </w:rPr>
  </w:style>
  <w:style w:type="character" w:customStyle="1" w:styleId="11">
    <w:name w:val="页脚 字符"/>
    <w:basedOn w:val="7"/>
    <w:link w:val="3"/>
    <w:qFormat/>
    <w:locked/>
    <w:uiPriority w:val="99"/>
    <w:rPr>
      <w:rFonts w:ascii="Calibri" w:hAnsi="Calibri" w:eastAsia="宋体" w:cs="Calibri"/>
      <w:kern w:val="2"/>
      <w:sz w:val="18"/>
      <w:szCs w:val="18"/>
    </w:rPr>
  </w:style>
  <w:style w:type="character" w:customStyle="1" w:styleId="12">
    <w:name w:val="正文文本缩进 字符"/>
    <w:basedOn w:val="7"/>
    <w:link w:val="2"/>
    <w:qFormat/>
    <w:locked/>
    <w:uiPriority w:val="99"/>
    <w:rPr>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427</Words>
  <Characters>2436</Characters>
  <Lines>20</Lines>
  <Paragraphs>5</Paragraphs>
  <TotalTime>13</TotalTime>
  <ScaleCrop>false</ScaleCrop>
  <LinksUpToDate>false</LinksUpToDate>
  <CharactersWithSpaces>2858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2021-07-02T08:56:00Z</dcterms:created>
  <dc:creator>铁石心肠</dc:creator>
  <cp:lastModifiedBy>嘉卉</cp:lastModifiedBy>
  <dcterms:modified xsi:type="dcterms:W3CDTF">2022-09-13T02:38:25Z</dcterms:modified>
  <dc:title>王毅同志个人综述材料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12A2BB087201472786364130BC7DC64F</vt:lpwstr>
  </property>
</Properties>
</file>