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sz w:val="32"/>
          <w:szCs w:val="32"/>
        </w:rPr>
      </w:pPr>
      <w:r>
        <w:rPr>
          <w:rFonts w:hint="eastAsia" w:ascii="宋体" w:hAnsi="宋体" w:eastAsia="宋体"/>
          <w:b/>
          <w:bCs/>
          <w:sz w:val="32"/>
          <w:szCs w:val="32"/>
          <w:lang w:eastAsia="zh-CN"/>
        </w:rPr>
        <w:t>王日兴</w:t>
      </w:r>
      <w:r>
        <w:rPr>
          <w:rFonts w:hint="eastAsia" w:ascii="宋体" w:hAnsi="宋体" w:eastAsia="宋体"/>
          <w:b/>
          <w:bCs/>
          <w:sz w:val="32"/>
          <w:szCs w:val="32"/>
        </w:rPr>
        <w:t>个人简历</w:t>
      </w:r>
    </w:p>
    <w:p>
      <w:pPr>
        <w:jc w:val="center"/>
        <w:rPr>
          <w:rFonts w:hint="eastAsia" w:ascii="宋体" w:hAnsi="宋体" w:eastAsia="宋体"/>
          <w:b/>
          <w:bCs/>
          <w:sz w:val="32"/>
          <w:szCs w:val="32"/>
          <w:lang w:eastAsia="zh-CN"/>
        </w:rPr>
      </w:pPr>
      <w:r>
        <w:rPr>
          <w:rFonts w:hint="eastAsia" w:ascii="宋体" w:hAnsi="宋体" w:eastAsia="宋体"/>
          <w:b/>
          <w:bCs/>
          <w:sz w:val="32"/>
          <w:szCs w:val="32"/>
          <w:lang w:eastAsia="zh-CN"/>
        </w:rPr>
        <w:drawing>
          <wp:inline distT="0" distB="0" distL="114300" distR="114300">
            <wp:extent cx="2600960" cy="3467735"/>
            <wp:effectExtent l="0" t="0" r="8890" b="18415"/>
            <wp:docPr id="1" name="图片 1" descr="王日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王日兴"/>
                    <pic:cNvPicPr>
                      <a:picLocks noChangeAspect="1"/>
                    </pic:cNvPicPr>
                  </pic:nvPicPr>
                  <pic:blipFill>
                    <a:blip r:embed="rId4"/>
                    <a:stretch>
                      <a:fillRect/>
                    </a:stretch>
                  </pic:blipFill>
                  <pic:spPr>
                    <a:xfrm>
                      <a:off x="0" y="0"/>
                      <a:ext cx="2600960" cy="3467735"/>
                    </a:xfrm>
                    <a:prstGeom prst="rect">
                      <a:avLst/>
                    </a:prstGeom>
                  </pic:spPr>
                </pic:pic>
              </a:graphicData>
            </a:graphic>
          </wp:inline>
        </w:drawing>
      </w:r>
    </w:p>
    <w:p>
      <w:pPr>
        <w:jc w:val="center"/>
        <w:rPr>
          <w:rFonts w:hint="eastAsia" w:ascii="宋体" w:hAnsi="宋体" w:eastAsia="宋体"/>
          <w:b/>
          <w:bCs/>
        </w:rPr>
      </w:pPr>
    </w:p>
    <w:p>
      <w:pPr>
        <w:pStyle w:val="7"/>
        <w:numPr>
          <w:ilvl w:val="0"/>
          <w:numId w:val="1"/>
        </w:numPr>
        <w:ind w:firstLineChars="0"/>
        <w:rPr>
          <w:rFonts w:ascii="宋体" w:hAnsi="宋体" w:eastAsia="宋体" w:cs="Times New Roman"/>
          <w:b/>
          <w:bCs/>
          <w:sz w:val="28"/>
          <w:szCs w:val="28"/>
        </w:rPr>
      </w:pPr>
      <w:r>
        <w:rPr>
          <w:rFonts w:ascii="宋体" w:hAnsi="宋体" w:eastAsia="宋体" w:cs="Times New Roman"/>
          <w:b/>
          <w:bCs/>
          <w:sz w:val="28"/>
          <w:szCs w:val="28"/>
        </w:rPr>
        <w:t>导师的个人情况概括</w:t>
      </w:r>
    </w:p>
    <w:p>
      <w:pPr>
        <w:spacing w:beforeLines="50" w:afterLines="50" w:line="360" w:lineRule="auto"/>
        <w:ind w:firstLine="440" w:firstLineChars="200"/>
        <w:rPr>
          <w:rFonts w:ascii="宋体" w:hAnsi="宋体" w:eastAsia="宋体" w:cs="Times New Roman"/>
          <w:sz w:val="22"/>
        </w:rPr>
      </w:pPr>
      <w:r>
        <w:rPr>
          <w:rFonts w:hint="eastAsia" w:ascii="宋体" w:hAnsi="宋体" w:eastAsia="宋体" w:cs="Times New Roman"/>
          <w:sz w:val="22"/>
        </w:rPr>
        <w:t>急诊专业医学硕士，硕士生导师，主任医师，海南医学院第二附属医院急诊科主任，中华医学会海南急诊医学分会侯任主任委员，国家卫生健康委人才交流服务中心人才评价专家。主持省部级科研项目4项，发表学术论文20余篇，</w:t>
      </w:r>
      <w:r>
        <w:rPr>
          <w:rFonts w:ascii="宋体" w:hAnsi="宋体" w:eastAsia="宋体" w:cs="Times New Roman"/>
          <w:sz w:val="22"/>
        </w:rPr>
        <w:t>参编医学著作4部。</w:t>
      </w:r>
    </w:p>
    <w:p>
      <w:pPr>
        <w:pStyle w:val="7"/>
        <w:numPr>
          <w:ilvl w:val="0"/>
          <w:numId w:val="1"/>
        </w:numPr>
        <w:ind w:firstLineChars="0"/>
        <w:rPr>
          <w:rFonts w:ascii="宋体" w:hAnsi="宋体" w:eastAsia="宋体" w:cs="Times New Roman"/>
          <w:b/>
          <w:bCs/>
          <w:sz w:val="28"/>
          <w:szCs w:val="28"/>
        </w:rPr>
      </w:pPr>
      <w:r>
        <w:rPr>
          <w:rFonts w:ascii="宋体" w:hAnsi="宋体" w:eastAsia="宋体" w:cs="Times New Roman"/>
          <w:b/>
          <w:bCs/>
          <w:sz w:val="28"/>
          <w:szCs w:val="28"/>
        </w:rPr>
        <w:t>研究方向</w:t>
      </w:r>
    </w:p>
    <w:p>
      <w:pPr>
        <w:spacing w:beforeLines="50" w:afterLines="50"/>
        <w:ind w:firstLine="420" w:firstLineChars="200"/>
        <w:rPr>
          <w:rFonts w:ascii="宋体" w:hAnsi="宋体" w:eastAsia="宋体" w:cs="Times New Roman"/>
          <w:szCs w:val="21"/>
        </w:rPr>
      </w:pPr>
      <w:r>
        <w:rPr>
          <w:rFonts w:hint="eastAsia" w:ascii="宋体" w:hAnsi="宋体" w:eastAsia="宋体"/>
          <w:szCs w:val="21"/>
        </w:rPr>
        <w:t>脓毒症、休克、心跳骤停流行病学、影响因素，早期干预及防控靶点研究</w:t>
      </w:r>
    </w:p>
    <w:p>
      <w:pPr>
        <w:pStyle w:val="7"/>
        <w:numPr>
          <w:ilvl w:val="0"/>
          <w:numId w:val="1"/>
        </w:numPr>
        <w:ind w:firstLineChars="0"/>
        <w:rPr>
          <w:rFonts w:ascii="宋体" w:hAnsi="宋体" w:eastAsia="宋体" w:cs="Times New Roman"/>
          <w:b/>
          <w:bCs/>
          <w:sz w:val="28"/>
          <w:szCs w:val="28"/>
        </w:rPr>
      </w:pPr>
      <w:r>
        <w:rPr>
          <w:rFonts w:ascii="宋体" w:hAnsi="宋体" w:eastAsia="宋体" w:cs="Times New Roman"/>
          <w:b/>
          <w:bCs/>
          <w:sz w:val="28"/>
          <w:szCs w:val="28"/>
        </w:rPr>
        <w:t>发表的学术论文和专</w:t>
      </w:r>
      <w:bookmarkStart w:id="0" w:name="_GoBack"/>
      <w:bookmarkEnd w:id="0"/>
      <w:r>
        <w:rPr>
          <w:rFonts w:ascii="宋体" w:hAnsi="宋体" w:eastAsia="宋体" w:cs="Times New Roman"/>
          <w:b/>
          <w:bCs/>
          <w:sz w:val="28"/>
          <w:szCs w:val="28"/>
        </w:rPr>
        <w:t>著（第1作者或通讯）</w:t>
      </w:r>
    </w:p>
    <w:p>
      <w:pPr>
        <w:pStyle w:val="7"/>
        <w:spacing w:line="360" w:lineRule="auto"/>
        <w:ind w:left="357" w:firstLine="0" w:firstLineChars="0"/>
        <w:jc w:val="left"/>
        <w:rPr>
          <w:rFonts w:asciiTheme="minorEastAsia" w:hAnsiTheme="minorEastAsia"/>
          <w:kern w:val="0"/>
          <w:szCs w:val="21"/>
        </w:rPr>
      </w:pPr>
      <w:r>
        <w:rPr>
          <w:rFonts w:hint="eastAsia" w:cs="宋体" w:asciiTheme="minorEastAsia" w:hAnsiTheme="minorEastAsia"/>
          <w:kern w:val="0"/>
          <w:szCs w:val="21"/>
        </w:rPr>
        <w:t xml:space="preserve">(1) </w:t>
      </w:r>
      <w:r>
        <w:rPr>
          <w:rFonts w:asciiTheme="minorEastAsia" w:hAnsiTheme="minorEastAsia"/>
          <w:kern w:val="0"/>
          <w:szCs w:val="21"/>
        </w:rPr>
        <w:t xml:space="preserve">Li-ping WANG 1#, Jia-cong LIN 2#, Qiang LIU 3#, Bo-xiong WU 3, </w:t>
      </w:r>
      <w:r>
        <w:rPr>
          <w:rFonts w:asciiTheme="minorEastAsia" w:hAnsiTheme="minorEastAsia"/>
          <w:b/>
          <w:kern w:val="0"/>
          <w:szCs w:val="21"/>
        </w:rPr>
        <w:t xml:space="preserve">Ri-xing WANG </w:t>
      </w:r>
      <w:r>
        <w:rPr>
          <w:rFonts w:asciiTheme="minorEastAsia" w:hAnsiTheme="minorEastAsia"/>
          <w:kern w:val="0"/>
          <w:szCs w:val="21"/>
        </w:rPr>
        <w:t>2&amp; Ye-ting HOU 1*.Aloperine Alleviates Ethanol Acute Exposure-Evoked Hepatocyte</w:t>
      </w:r>
      <w:r>
        <w:rPr>
          <w:rFonts w:hint="eastAsia" w:asciiTheme="minorEastAsia" w:hAnsiTheme="minorEastAsia"/>
          <w:kern w:val="0"/>
          <w:szCs w:val="21"/>
        </w:rPr>
        <w:t xml:space="preserve"> </w:t>
      </w:r>
      <w:r>
        <w:rPr>
          <w:rFonts w:asciiTheme="minorEastAsia" w:hAnsiTheme="minorEastAsia"/>
          <w:kern w:val="0"/>
          <w:szCs w:val="21"/>
        </w:rPr>
        <w:t>Injury</w:t>
      </w:r>
      <w:r>
        <w:rPr>
          <w:rFonts w:hint="eastAsia" w:asciiTheme="minorEastAsia" w:hAnsiTheme="minorEastAsia"/>
          <w:kern w:val="0"/>
          <w:szCs w:val="21"/>
        </w:rPr>
        <w:t xml:space="preserve"> </w:t>
      </w:r>
      <w:r>
        <w:rPr>
          <w:rFonts w:asciiTheme="minorEastAsia" w:hAnsiTheme="minorEastAsia"/>
          <w:kern w:val="0"/>
          <w:szCs w:val="21"/>
        </w:rPr>
        <w:t xml:space="preserve"> by </w:t>
      </w:r>
      <w:r>
        <w:rPr>
          <w:rFonts w:hint="eastAsia" w:asciiTheme="minorEastAsia" w:hAnsiTheme="minorEastAsia"/>
          <w:kern w:val="0"/>
          <w:szCs w:val="21"/>
        </w:rPr>
        <w:t xml:space="preserve"> </w:t>
      </w:r>
      <w:r>
        <w:rPr>
          <w:rFonts w:asciiTheme="minorEastAsia" w:hAnsiTheme="minorEastAsia"/>
          <w:kern w:val="0"/>
          <w:szCs w:val="21"/>
        </w:rPr>
        <w:t>Restraining Oxidative Stress through the Nrf2-HO-1 Axis.</w:t>
      </w:r>
      <w:r>
        <w:rPr>
          <w:rFonts w:asciiTheme="minorEastAsia" w:hAnsiTheme="minorEastAsia"/>
        </w:rPr>
        <w:t xml:space="preserve"> </w:t>
      </w:r>
      <w:r>
        <w:rPr>
          <w:rFonts w:asciiTheme="minorEastAsia" w:hAnsiTheme="minorEastAsia"/>
          <w:kern w:val="0"/>
          <w:szCs w:val="21"/>
        </w:rPr>
        <w:t>Lat. Am. J. Pharm. 40 (4): 862-70 (2021)</w:t>
      </w:r>
      <w:r>
        <w:rPr>
          <w:rFonts w:hint="eastAsia" w:asciiTheme="minorEastAsia" w:hAnsiTheme="minorEastAsia"/>
          <w:kern w:val="0"/>
          <w:szCs w:val="21"/>
        </w:rPr>
        <w:t>.</w:t>
      </w:r>
      <w:r>
        <w:rPr>
          <w:rFonts w:asciiTheme="minorEastAsia" w:hAnsiTheme="minorEastAsia"/>
          <w:kern w:val="0"/>
          <w:szCs w:val="21"/>
        </w:rPr>
        <w:t xml:space="preserve"> </w:t>
      </w:r>
    </w:p>
    <w:p>
      <w:pPr>
        <w:pStyle w:val="7"/>
        <w:spacing w:line="360" w:lineRule="auto"/>
        <w:ind w:left="357" w:firstLine="0" w:firstLineChars="0"/>
        <w:rPr>
          <w:rFonts w:ascii="宋体" w:hAnsi="宋体" w:eastAsia="宋体" w:cs="宋体"/>
          <w:kern w:val="0"/>
          <w:szCs w:val="21"/>
        </w:rPr>
      </w:pPr>
      <w:r>
        <w:rPr>
          <w:rFonts w:hint="eastAsia" w:ascii="宋体" w:hAnsi="宋体" w:eastAsia="宋体" w:cs="宋体"/>
          <w:kern w:val="0"/>
          <w:szCs w:val="21"/>
        </w:rPr>
        <w:t>(2) 韩雪妹,王日兴</w:t>
      </w:r>
      <w:r>
        <w:rPr>
          <w:rFonts w:ascii="宋体" w:hAnsi="宋体" w:eastAsia="宋体" w:cs="宋体"/>
          <w:kern w:val="0"/>
          <w:szCs w:val="21"/>
        </w:rPr>
        <w:t>*</w:t>
      </w:r>
      <w:r>
        <w:rPr>
          <w:rFonts w:hint="eastAsia" w:ascii="宋体" w:hAnsi="宋体" w:eastAsia="宋体" w:cs="宋体"/>
          <w:kern w:val="0"/>
          <w:szCs w:val="21"/>
        </w:rPr>
        <w:t>. 脓毒症相关持续性炎症-免疫抑制-分解代谢综合征的研究进展.感染、炎症、修复,2021,22(3):171-174. </w:t>
      </w:r>
    </w:p>
    <w:p>
      <w:pPr>
        <w:pStyle w:val="7"/>
        <w:spacing w:line="360" w:lineRule="auto"/>
        <w:ind w:left="357" w:firstLine="0" w:firstLineChars="0"/>
        <w:rPr>
          <w:rFonts w:ascii="宋体" w:hAnsi="宋体" w:eastAsia="宋体" w:cs="宋体"/>
          <w:kern w:val="0"/>
          <w:szCs w:val="21"/>
        </w:rPr>
      </w:pPr>
      <w:r>
        <w:rPr>
          <w:rFonts w:hint="eastAsia" w:ascii="宋体" w:hAnsi="宋体" w:eastAsia="宋体" w:cs="宋体"/>
          <w:kern w:val="0"/>
          <w:szCs w:val="21"/>
        </w:rPr>
        <w:t>(3)韩雪妹,王日兴</w:t>
      </w:r>
      <w:r>
        <w:rPr>
          <w:rFonts w:ascii="宋体" w:hAnsi="宋体" w:eastAsia="宋体" w:cs="宋体"/>
          <w:kern w:val="0"/>
          <w:szCs w:val="21"/>
        </w:rPr>
        <w:t>*</w:t>
      </w:r>
      <w:r>
        <w:rPr>
          <w:rFonts w:hint="eastAsia" w:ascii="宋体" w:hAnsi="宋体" w:eastAsia="宋体" w:cs="宋体"/>
          <w:kern w:val="0"/>
          <w:szCs w:val="21"/>
        </w:rPr>
        <w:t>.ROS与脓毒症NLRP3活化的关系及其调控机制.海南医学,2022,33(14)：1871-1874.</w:t>
      </w:r>
    </w:p>
    <w:p>
      <w:pPr>
        <w:pStyle w:val="7"/>
        <w:spacing w:line="360" w:lineRule="auto"/>
        <w:ind w:left="357" w:firstLine="0" w:firstLineChars="0"/>
        <w:rPr>
          <w:rFonts w:ascii="宋体" w:hAnsi="宋体" w:eastAsia="宋体" w:cs="宋体"/>
          <w:kern w:val="0"/>
          <w:szCs w:val="21"/>
        </w:rPr>
      </w:pPr>
      <w:r>
        <w:rPr>
          <w:rFonts w:hint="eastAsia" w:ascii="宋体" w:hAnsi="宋体" w:eastAsia="宋体" w:cs="宋体"/>
          <w:kern w:val="0"/>
          <w:szCs w:val="21"/>
        </w:rPr>
        <w:t xml:space="preserve">(4) 王日兴，林明强，林家聪.早期应用不同剂量山莨菪碱治疗感染性休克血管外肺水疗效及安全性研究. 海南医学院学报,2017,23(7):901-903. </w:t>
      </w:r>
    </w:p>
    <w:p>
      <w:pPr>
        <w:pStyle w:val="7"/>
        <w:spacing w:line="360" w:lineRule="auto"/>
        <w:ind w:left="357" w:firstLine="0" w:firstLineChars="0"/>
        <w:rPr>
          <w:rFonts w:hint="eastAsia" w:ascii="宋体" w:hAnsi="宋体" w:eastAsia="宋体" w:cs="宋体"/>
          <w:b/>
          <w:sz w:val="28"/>
          <w:szCs w:val="28"/>
        </w:rPr>
      </w:pPr>
      <w:r>
        <w:rPr>
          <w:rFonts w:hint="eastAsia" w:ascii="宋体" w:hAnsi="宋体" w:eastAsia="宋体" w:cs="宋体"/>
          <w:kern w:val="0"/>
          <w:szCs w:val="21"/>
        </w:rPr>
        <w:t>(5) 何和与，吴开弟，黄泽晓，万海山，王日兴*. 中医手法复位治疗桡骨远端骨折 Fernandez I 型损伤的临床疗效分析. 创伤外科杂志,2018,20(5):381-384.</w:t>
      </w:r>
    </w:p>
    <w:p>
      <w:pPr>
        <w:rPr>
          <w:rFonts w:hint="eastAsia" w:ascii="宋体" w:hAnsi="宋体" w:eastAsia="宋体" w:cs="宋体"/>
          <w:sz w:val="28"/>
          <w:szCs w:val="28"/>
        </w:rPr>
      </w:pPr>
      <w:r>
        <w:rPr>
          <w:rFonts w:hint="eastAsia" w:ascii="宋体" w:hAnsi="宋体" w:eastAsia="宋体" w:cs="宋体"/>
          <w:b/>
          <w:bCs/>
          <w:sz w:val="28"/>
          <w:szCs w:val="28"/>
        </w:rPr>
        <w:t>4.主持过的科研项目</w:t>
      </w:r>
      <w:r>
        <w:rPr>
          <w:rFonts w:hint="eastAsia" w:ascii="宋体" w:hAnsi="宋体" w:eastAsia="宋体" w:cs="宋体"/>
          <w:sz w:val="28"/>
          <w:szCs w:val="28"/>
        </w:rPr>
        <w:t>（项目名称；项目编号；级别；经费；起止日期）</w:t>
      </w:r>
    </w:p>
    <w:p>
      <w:pPr>
        <w:spacing w:line="360" w:lineRule="auto"/>
        <w:rPr>
          <w:rFonts w:ascii="宋体" w:hAnsi="宋体" w:eastAsia="宋体" w:cs="宋体"/>
          <w:szCs w:val="21"/>
        </w:rPr>
      </w:pPr>
      <w:r>
        <w:rPr>
          <w:rFonts w:hint="eastAsia" w:ascii="宋体" w:hAnsi="宋体" w:eastAsia="宋体" w:cs="宋体"/>
          <w:szCs w:val="21"/>
        </w:rPr>
        <w:t>(1)</w:t>
      </w:r>
      <w:r>
        <w:rPr>
          <w:rFonts w:hint="eastAsia" w:ascii="宋体" w:hAnsi="宋体" w:eastAsia="宋体"/>
        </w:rPr>
        <w:t xml:space="preserve"> </w:t>
      </w:r>
      <w:r>
        <w:rPr>
          <w:rFonts w:hint="eastAsia" w:ascii="宋体" w:hAnsi="宋体" w:eastAsia="宋体" w:cs="宋体"/>
          <w:szCs w:val="21"/>
        </w:rPr>
        <w:t>山莨菪碱对不同血管外肺水指数感染性休克患者作用评价，No. 310160，海南省自然科学基金， 2万元，2011.01–2013.12，结题，主持</w:t>
      </w:r>
    </w:p>
    <w:p>
      <w:pPr>
        <w:spacing w:line="360" w:lineRule="auto"/>
        <w:rPr>
          <w:rFonts w:ascii="宋体" w:hAnsi="宋体" w:eastAsia="宋体" w:cs="宋体"/>
          <w:szCs w:val="21"/>
        </w:rPr>
      </w:pPr>
      <w:r>
        <w:rPr>
          <w:rFonts w:hint="eastAsia" w:ascii="宋体" w:hAnsi="宋体" w:eastAsia="宋体" w:cs="宋体"/>
          <w:szCs w:val="21"/>
        </w:rPr>
        <w:t>(2)</w:t>
      </w:r>
      <w:r>
        <w:rPr>
          <w:rFonts w:hint="eastAsia" w:ascii="宋体" w:hAnsi="宋体" w:eastAsia="宋体"/>
        </w:rPr>
        <w:t xml:space="preserve">  </w:t>
      </w:r>
      <w:r>
        <w:rPr>
          <w:rFonts w:hint="eastAsia" w:ascii="宋体" w:hAnsi="宋体" w:eastAsia="宋体" w:cs="宋体"/>
          <w:szCs w:val="21"/>
        </w:rPr>
        <w:t>HMGB1作为EVLW标记物及其活化NLRP3信号途径机制的研究，818MS148,海南省科技厅自然科学基金面上项目， 10万元，2018-1-1至2020-12-31,结题，主持</w:t>
      </w:r>
    </w:p>
    <w:p>
      <w:pPr>
        <w:spacing w:line="360" w:lineRule="auto"/>
        <w:rPr>
          <w:rFonts w:ascii="宋体" w:hAnsi="宋体" w:eastAsia="宋体" w:cs="宋体"/>
          <w:szCs w:val="21"/>
        </w:rPr>
      </w:pPr>
      <w:r>
        <w:rPr>
          <w:rFonts w:hint="eastAsia" w:ascii="宋体" w:hAnsi="宋体" w:eastAsia="宋体" w:cs="宋体"/>
          <w:szCs w:val="21"/>
        </w:rPr>
        <w:t>(3)</w:t>
      </w:r>
      <w:r>
        <w:rPr>
          <w:rFonts w:hint="eastAsia" w:ascii="宋体" w:hAnsi="宋体" w:eastAsia="宋体"/>
        </w:rPr>
        <w:t xml:space="preserve"> </w:t>
      </w:r>
      <w:r>
        <w:rPr>
          <w:rFonts w:hint="eastAsia" w:ascii="宋体" w:hAnsi="宋体" w:eastAsia="宋体" w:cs="宋体"/>
          <w:szCs w:val="21"/>
        </w:rPr>
        <w:t>“中国人群心脏骤停发病率、病死率及危险因素调查”华南地区院前-院内心脏骤停发病率、病死率及危险因素调查，2018FY100603，“国家科技基础资源调查”专项，2.04万元，结题，主持</w:t>
      </w:r>
    </w:p>
    <w:p>
      <w:pPr>
        <w:spacing w:line="360" w:lineRule="auto"/>
        <w:rPr>
          <w:rFonts w:hint="eastAsia" w:ascii="宋体" w:hAnsi="宋体" w:eastAsia="宋体" w:cs="宋体"/>
          <w:b/>
          <w:bCs/>
          <w:sz w:val="28"/>
          <w:szCs w:val="28"/>
        </w:rPr>
      </w:pPr>
      <w:r>
        <w:rPr>
          <w:rFonts w:hint="eastAsia" w:ascii="宋体" w:hAnsi="宋体" w:eastAsia="宋体" w:cs="宋体"/>
          <w:szCs w:val="21"/>
        </w:rPr>
        <w:t>(4)</w:t>
      </w:r>
      <w:r>
        <w:rPr>
          <w:rFonts w:hint="eastAsia" w:ascii="宋体" w:hAnsi="宋体" w:eastAsia="宋体"/>
        </w:rPr>
        <w:t xml:space="preserve"> </w:t>
      </w:r>
      <w:r>
        <w:rPr>
          <w:rFonts w:hint="eastAsia" w:ascii="宋体" w:hAnsi="宋体" w:eastAsia="宋体" w:cs="宋体"/>
          <w:szCs w:val="21"/>
        </w:rPr>
        <w:t xml:space="preserve"> 创伤脓毒症患者感染易感因素及脓毒症亚型分类研究，2022年海南省临床医学研究中心项目：琼科函〔2022〕81号， 80万元，2022.02-2024.02,在研，主持</w:t>
      </w:r>
    </w:p>
    <w:p>
      <w:pPr>
        <w:rPr>
          <w:rFonts w:hint="eastAsia" w:ascii="宋体" w:hAnsi="宋体" w:eastAsia="宋体" w:cs="宋体"/>
          <w:b/>
          <w:bCs/>
          <w:sz w:val="28"/>
          <w:szCs w:val="28"/>
        </w:rPr>
      </w:pPr>
      <w:r>
        <w:rPr>
          <w:rFonts w:hint="eastAsia" w:ascii="宋体" w:hAnsi="宋体" w:eastAsia="宋体" w:cs="宋体"/>
          <w:b/>
          <w:bCs/>
          <w:sz w:val="28"/>
          <w:szCs w:val="28"/>
        </w:rPr>
        <w:t>5.学术兼职</w:t>
      </w:r>
    </w:p>
    <w:p>
      <w:pPr>
        <w:spacing w:line="360" w:lineRule="auto"/>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中国医促会急诊医学分会委员</w:t>
      </w:r>
      <w:r>
        <w:rPr>
          <w:rFonts w:ascii="宋体" w:hAnsi="宋体" w:eastAsia="宋体" w:cs="Times New Roman"/>
          <w:szCs w:val="21"/>
        </w:rPr>
        <w:t xml:space="preserve">          </w:t>
      </w:r>
    </w:p>
    <w:p>
      <w:pPr>
        <w:spacing w:line="360" w:lineRule="auto"/>
        <w:rPr>
          <w:rFonts w:ascii="宋体" w:hAnsi="宋体" w:eastAsia="宋体" w:cs="Times New Roman"/>
          <w:szCs w:val="21"/>
        </w:rPr>
      </w:pPr>
      <w:r>
        <w:rPr>
          <w:rFonts w:ascii="宋体" w:hAnsi="宋体" w:eastAsia="宋体" w:cs="Times New Roman"/>
          <w:szCs w:val="21"/>
        </w:rPr>
        <w:t>（2）中华医学会急诊医学分会心肺复苏学组委员</w:t>
      </w:r>
    </w:p>
    <w:p>
      <w:pPr>
        <w:spacing w:line="360" w:lineRule="auto"/>
        <w:rPr>
          <w:rFonts w:ascii="宋体" w:hAnsi="宋体" w:eastAsia="宋体" w:cs="Times New Roman"/>
          <w:szCs w:val="21"/>
        </w:rPr>
      </w:pPr>
      <w:r>
        <w:rPr>
          <w:rFonts w:ascii="宋体" w:hAnsi="宋体" w:eastAsia="宋体" w:cs="Times New Roman"/>
          <w:szCs w:val="21"/>
        </w:rPr>
        <w:t>（3）中国医师协会急诊医学分会危重病学组委员</w:t>
      </w:r>
    </w:p>
    <w:p>
      <w:pPr>
        <w:spacing w:line="360" w:lineRule="auto"/>
        <w:rPr>
          <w:rFonts w:hint="eastAsia" w:ascii="宋体" w:hAnsi="宋体" w:eastAsia="宋体" w:cs="Times New Roman"/>
          <w:szCs w:val="21"/>
        </w:rPr>
      </w:pPr>
      <w:r>
        <w:rPr>
          <w:rFonts w:ascii="宋体" w:hAnsi="宋体" w:eastAsia="宋体" w:cs="Times New Roman"/>
          <w:szCs w:val="21"/>
        </w:rPr>
        <w:t>（4）中华医学会海南急诊医学分会候任主任委员</w:t>
      </w:r>
    </w:p>
    <w:p>
      <w:pPr>
        <w:spacing w:line="360" w:lineRule="auto"/>
        <w:rPr>
          <w:rFonts w:hint="eastAsia" w:ascii="宋体" w:hAnsi="宋体" w:eastAsia="宋体" w:cs="Times New Roman"/>
          <w:b/>
          <w:sz w:val="28"/>
          <w:szCs w:val="28"/>
        </w:rPr>
      </w:pPr>
      <w:r>
        <w:rPr>
          <w:rFonts w:hint="eastAsia" w:ascii="宋体" w:hAnsi="宋体" w:eastAsia="宋体" w:cs="Times New Roman"/>
          <w:b/>
          <w:sz w:val="28"/>
          <w:szCs w:val="28"/>
        </w:rPr>
        <w:t>6.联系方式</w:t>
      </w:r>
    </w:p>
    <w:p>
      <w:pPr>
        <w:spacing w:line="360" w:lineRule="auto"/>
        <w:ind w:firstLine="105" w:firstLineChars="50"/>
        <w:rPr>
          <w:rFonts w:ascii="Times New Roman" w:hAnsi="Times New Roman" w:eastAsia="宋体" w:cs="Times New Roman"/>
          <w:szCs w:val="21"/>
        </w:rPr>
      </w:pPr>
      <w:r>
        <w:rPr>
          <w:rFonts w:ascii="Times New Roman" w:hAnsi="Times New Roman" w:eastAsia="宋体" w:cs="Times New Roman"/>
          <w:szCs w:val="21"/>
        </w:rPr>
        <w:t>Wangrixing903@126.com</w:t>
      </w:r>
    </w:p>
    <w:p>
      <w:pPr>
        <w:spacing w:line="360" w:lineRule="auto"/>
        <w:rPr>
          <w:rFonts w:ascii="宋体" w:hAnsi="宋体" w:eastAsia="宋体" w:cs="Calibri"/>
          <w:szCs w:val="21"/>
        </w:rPr>
      </w:pPr>
    </w:p>
    <w:p>
      <w:pPr>
        <w:rPr>
          <w:rFonts w:cs="Calibri" w:asciiTheme="minorEastAsia" w:hAnsiTheme="minorEastAsia"/>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AC7320"/>
    <w:multiLevelType w:val="multilevel"/>
    <w:tmpl w:val="4EAC7320"/>
    <w:lvl w:ilvl="0" w:tentative="0">
      <w:start w:val="1"/>
      <w:numFmt w:val="decimal"/>
      <w:lvlText w:val="%1."/>
      <w:lvlJc w:val="left"/>
      <w:pPr>
        <w:ind w:left="360" w:hanging="36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05822"/>
    <w:rsid w:val="000A580D"/>
    <w:rsid w:val="000E1B10"/>
    <w:rsid w:val="001D731A"/>
    <w:rsid w:val="001E4D4B"/>
    <w:rsid w:val="002023AD"/>
    <w:rsid w:val="0028206B"/>
    <w:rsid w:val="00293312"/>
    <w:rsid w:val="0032516A"/>
    <w:rsid w:val="003918F3"/>
    <w:rsid w:val="003C5127"/>
    <w:rsid w:val="003F0B98"/>
    <w:rsid w:val="00471BC2"/>
    <w:rsid w:val="00475840"/>
    <w:rsid w:val="005158C2"/>
    <w:rsid w:val="005638DF"/>
    <w:rsid w:val="005E4705"/>
    <w:rsid w:val="00623833"/>
    <w:rsid w:val="006711EA"/>
    <w:rsid w:val="00675755"/>
    <w:rsid w:val="0068566F"/>
    <w:rsid w:val="00697911"/>
    <w:rsid w:val="006C1747"/>
    <w:rsid w:val="00755021"/>
    <w:rsid w:val="007A01F4"/>
    <w:rsid w:val="007C59A7"/>
    <w:rsid w:val="00880E11"/>
    <w:rsid w:val="00947EAC"/>
    <w:rsid w:val="00990FEF"/>
    <w:rsid w:val="009A0B4F"/>
    <w:rsid w:val="009B43DC"/>
    <w:rsid w:val="009B7E33"/>
    <w:rsid w:val="009F53E1"/>
    <w:rsid w:val="00A10F00"/>
    <w:rsid w:val="00A94048"/>
    <w:rsid w:val="00AD10EB"/>
    <w:rsid w:val="00AE070F"/>
    <w:rsid w:val="00B12C47"/>
    <w:rsid w:val="00B252A0"/>
    <w:rsid w:val="00B41414"/>
    <w:rsid w:val="00B814EC"/>
    <w:rsid w:val="00B8374D"/>
    <w:rsid w:val="00B87876"/>
    <w:rsid w:val="00C05822"/>
    <w:rsid w:val="00C72A1C"/>
    <w:rsid w:val="00C83ABB"/>
    <w:rsid w:val="00CA3F0C"/>
    <w:rsid w:val="00CD5022"/>
    <w:rsid w:val="00D1370E"/>
    <w:rsid w:val="00DE0DA7"/>
    <w:rsid w:val="00DF0747"/>
    <w:rsid w:val="00E12081"/>
    <w:rsid w:val="00EF61B1"/>
    <w:rsid w:val="00F62ECE"/>
    <w:rsid w:val="00FB41E2"/>
    <w:rsid w:val="1AD500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uiPriority w:val="99"/>
    <w:pPr>
      <w:tabs>
        <w:tab w:val="center" w:pos="4153"/>
        <w:tab w:val="right" w:pos="8306"/>
      </w:tabs>
      <w:snapToGrid w:val="0"/>
      <w:jc w:val="left"/>
    </w:pPr>
    <w:rPr>
      <w:sz w:val="18"/>
      <w:szCs w:val="18"/>
    </w:rPr>
  </w:style>
  <w:style w:type="paragraph" w:styleId="3">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uiPriority w:val="99"/>
    <w:rPr>
      <w:color w:val="0000FF"/>
      <w:u w:val="single"/>
    </w:rPr>
  </w:style>
  <w:style w:type="paragraph" w:styleId="7">
    <w:name w:val="List Paragraph"/>
    <w:basedOn w:val="1"/>
    <w:qFormat/>
    <w:uiPriority w:val="34"/>
    <w:pPr>
      <w:ind w:firstLine="420" w:firstLineChars="200"/>
    </w:pPr>
  </w:style>
  <w:style w:type="character" w:customStyle="1" w:styleId="8">
    <w:name w:val="labs-docsum-authors"/>
    <w:basedOn w:val="5"/>
    <w:uiPriority w:val="0"/>
  </w:style>
  <w:style w:type="character" w:customStyle="1" w:styleId="9">
    <w:name w:val="labs-docsum-journal-citation"/>
    <w:basedOn w:val="5"/>
    <w:uiPriority w:val="0"/>
  </w:style>
  <w:style w:type="character" w:customStyle="1" w:styleId="10">
    <w:name w:val="页眉 Char"/>
    <w:basedOn w:val="5"/>
    <w:link w:val="3"/>
    <w:semiHidden/>
    <w:uiPriority w:val="99"/>
    <w:rPr>
      <w:sz w:val="18"/>
      <w:szCs w:val="18"/>
    </w:rPr>
  </w:style>
  <w:style w:type="character" w:customStyle="1" w:styleId="11">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193</Words>
  <Characters>1101</Characters>
  <Lines>9</Lines>
  <Paragraphs>2</Paragraphs>
  <TotalTime>1</TotalTime>
  <ScaleCrop>false</ScaleCrop>
  <LinksUpToDate>false</LinksUpToDate>
  <CharactersWithSpaces>1292</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2020-06-16T04:42:00Z</dcterms:created>
  <dc:creator>郑 少江</dc:creator>
  <cp:lastModifiedBy>嘉卉</cp:lastModifiedBy>
  <dcterms:modified xsi:type="dcterms:W3CDTF">2022-09-13T03:47:24Z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E61EC187F3ED4C3BABA8F0CEBD53E9B4</vt:lpwstr>
  </property>
</Properties>
</file>